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95EB96" w14:textId="71D67F9F" w:rsidR="00F55410" w:rsidRPr="000A64D8" w:rsidRDefault="00F55410" w:rsidP="00F55410">
      <w:pPr>
        <w:tabs>
          <w:tab w:val="right" w:pos="10000"/>
        </w:tabs>
        <w:spacing w:after="0"/>
        <w:rPr>
          <w:rFonts w:ascii="Arial" w:hAnsi="Arial" w:cs="Arial"/>
          <w:b/>
          <w:sz w:val="24"/>
          <w:szCs w:val="24"/>
        </w:rPr>
      </w:pPr>
      <w:r w:rsidRPr="000A64D8">
        <w:rPr>
          <w:rFonts w:ascii="Arial" w:hAnsi="Arial" w:cs="Arial"/>
          <w:b/>
          <w:sz w:val="24"/>
          <w:szCs w:val="24"/>
        </w:rPr>
        <w:t>3GPP TSG-RAN WG1</w:t>
      </w:r>
      <w:r w:rsidR="00051D3D">
        <w:rPr>
          <w:rFonts w:ascii="Arial" w:hAnsi="Arial" w:cs="Arial"/>
          <w:b/>
          <w:sz w:val="24"/>
          <w:szCs w:val="24"/>
        </w:rPr>
        <w:t>#88</w:t>
      </w:r>
      <w:r w:rsidR="006206A2">
        <w:rPr>
          <w:rFonts w:ascii="Arial" w:hAnsi="Arial" w:cs="Arial"/>
          <w:b/>
          <w:sz w:val="24"/>
          <w:szCs w:val="24"/>
        </w:rPr>
        <w:t>bis</w:t>
      </w:r>
      <w:r w:rsidRPr="000A64D8">
        <w:rPr>
          <w:rFonts w:ascii="Arial" w:hAnsi="Arial" w:cs="Arial"/>
          <w:b/>
          <w:sz w:val="24"/>
          <w:szCs w:val="24"/>
        </w:rPr>
        <w:t xml:space="preserve"> </w:t>
      </w:r>
      <w:r w:rsidRPr="000A64D8">
        <w:rPr>
          <w:rFonts w:ascii="Arial" w:hAnsi="Arial" w:cs="Arial"/>
          <w:b/>
          <w:sz w:val="24"/>
          <w:szCs w:val="24"/>
        </w:rPr>
        <w:tab/>
      </w:r>
      <w:r w:rsidRPr="00961A61">
        <w:rPr>
          <w:rFonts w:ascii="Arial" w:hAnsi="Arial" w:cs="Arial"/>
          <w:b/>
          <w:sz w:val="24"/>
          <w:szCs w:val="24"/>
        </w:rPr>
        <w:t>R1-1</w:t>
      </w:r>
      <w:r>
        <w:rPr>
          <w:rFonts w:ascii="Arial" w:hAnsi="Arial" w:cs="Arial"/>
          <w:b/>
          <w:sz w:val="24"/>
          <w:szCs w:val="24"/>
        </w:rPr>
        <w:t>7</w:t>
      </w:r>
      <w:r w:rsidR="00051D3D">
        <w:rPr>
          <w:rFonts w:ascii="Arial" w:hAnsi="Arial" w:cs="Arial"/>
          <w:b/>
          <w:sz w:val="24"/>
          <w:szCs w:val="24"/>
        </w:rPr>
        <w:t>0</w:t>
      </w:r>
      <w:r w:rsidR="004630D5">
        <w:rPr>
          <w:rFonts w:ascii="Arial" w:hAnsi="Arial" w:cs="Arial"/>
          <w:b/>
          <w:sz w:val="24"/>
          <w:szCs w:val="24"/>
        </w:rPr>
        <w:t>5604</w:t>
      </w:r>
    </w:p>
    <w:p w14:paraId="61FEAEB7" w14:textId="0B17012F" w:rsidR="00905BC8" w:rsidRDefault="006206A2" w:rsidP="00905BC8">
      <w:pPr>
        <w:pStyle w:val="Footer"/>
        <w:jc w:val="both"/>
        <w:rPr>
          <w:i w:val="0"/>
          <w:sz w:val="24"/>
          <w:szCs w:val="24"/>
          <w:lang w:val="en-GB" w:eastAsia="ja-JP"/>
        </w:rPr>
      </w:pPr>
      <w:r>
        <w:rPr>
          <w:i w:val="0"/>
          <w:iCs/>
          <w:sz w:val="24"/>
          <w:szCs w:val="24"/>
          <w:lang w:val="en-GB" w:eastAsia="ja-JP"/>
        </w:rPr>
        <w:t>April</w:t>
      </w:r>
      <w:r w:rsidR="00905BC8">
        <w:rPr>
          <w:i w:val="0"/>
          <w:iCs/>
          <w:sz w:val="24"/>
          <w:szCs w:val="24"/>
          <w:lang w:val="en-GB" w:eastAsia="ja-JP"/>
        </w:rPr>
        <w:t xml:space="preserve"> </w:t>
      </w:r>
      <w:r w:rsidR="00051D3D">
        <w:rPr>
          <w:i w:val="0"/>
          <w:iCs/>
          <w:sz w:val="24"/>
          <w:szCs w:val="24"/>
          <w:lang w:val="en-GB" w:eastAsia="ja-JP"/>
        </w:rPr>
        <w:t>3</w:t>
      </w:r>
      <w:r w:rsidRPr="006206A2">
        <w:rPr>
          <w:i w:val="0"/>
          <w:iCs/>
          <w:sz w:val="24"/>
          <w:szCs w:val="24"/>
          <w:vertAlign w:val="superscript"/>
          <w:lang w:val="en-GB" w:eastAsia="ja-JP"/>
        </w:rPr>
        <w:t>rd</w:t>
      </w:r>
      <w:r w:rsidR="00905BC8">
        <w:rPr>
          <w:i w:val="0"/>
          <w:iCs/>
          <w:sz w:val="24"/>
          <w:szCs w:val="24"/>
          <w:lang w:val="en-GB" w:eastAsia="ja-JP"/>
        </w:rPr>
        <w:t xml:space="preserve"> - </w:t>
      </w:r>
      <w:r>
        <w:rPr>
          <w:i w:val="0"/>
          <w:iCs/>
          <w:sz w:val="24"/>
          <w:szCs w:val="24"/>
          <w:lang w:val="en-GB" w:eastAsia="ja-JP"/>
        </w:rPr>
        <w:t>7</w:t>
      </w:r>
      <w:r w:rsidR="00905BC8">
        <w:rPr>
          <w:i w:val="0"/>
          <w:iCs/>
          <w:sz w:val="24"/>
          <w:szCs w:val="24"/>
          <w:vertAlign w:val="superscript"/>
          <w:lang w:val="en-GB" w:eastAsia="ja-JP"/>
        </w:rPr>
        <w:t>th</w:t>
      </w:r>
      <w:r w:rsidR="00905BC8">
        <w:rPr>
          <w:i w:val="0"/>
          <w:iCs/>
          <w:sz w:val="24"/>
          <w:szCs w:val="24"/>
          <w:lang w:val="en-GB" w:eastAsia="ja-JP"/>
        </w:rPr>
        <w:t>, 2017</w:t>
      </w:r>
    </w:p>
    <w:p w14:paraId="02819C2B" w14:textId="2BC299E9" w:rsidR="00905BC8" w:rsidRDefault="006206A2" w:rsidP="00905BC8">
      <w:pPr>
        <w:pStyle w:val="Footer"/>
        <w:jc w:val="both"/>
        <w:rPr>
          <w:i w:val="0"/>
          <w:iCs/>
          <w:sz w:val="24"/>
          <w:szCs w:val="24"/>
          <w:lang w:val="en-GB" w:eastAsia="ja-JP"/>
        </w:rPr>
      </w:pPr>
      <w:r>
        <w:rPr>
          <w:i w:val="0"/>
          <w:iCs/>
          <w:sz w:val="24"/>
          <w:szCs w:val="24"/>
          <w:lang w:val="en-GB" w:eastAsia="zh-CN"/>
        </w:rPr>
        <w:t>Spokane, WA, USA</w:t>
      </w:r>
    </w:p>
    <w:p w14:paraId="43B7F87B" w14:textId="77777777" w:rsidR="0068226B" w:rsidRPr="000A64D8" w:rsidRDefault="0068226B" w:rsidP="00480B03">
      <w:pPr>
        <w:pStyle w:val="Footer"/>
        <w:jc w:val="both"/>
        <w:rPr>
          <w:noProof w:val="0"/>
        </w:rPr>
      </w:pPr>
    </w:p>
    <w:p w14:paraId="43B7F87C" w14:textId="3E5807C1"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955C57">
        <w:rPr>
          <w:rFonts w:ascii="Arial" w:hAnsi="Arial"/>
          <w:sz w:val="24"/>
        </w:rPr>
        <w:t>8.1.3.1.3</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699F74DD" w:rsidR="00C10599" w:rsidRPr="0007796D"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955C57">
        <w:rPr>
          <w:rFonts w:ascii="Arial" w:hAnsi="Arial"/>
          <w:sz w:val="24"/>
          <w:szCs w:val="24"/>
        </w:rPr>
        <w:t>Contents of group common PDCCH</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43B7F880" w14:textId="77777777" w:rsidR="004503F9" w:rsidRPr="00183CB7" w:rsidRDefault="004503F9" w:rsidP="004503F9">
      <w:pPr>
        <w:pStyle w:val="Heading1"/>
      </w:pPr>
      <w:r w:rsidRPr="00183CB7">
        <w:t>Introduction</w:t>
      </w:r>
    </w:p>
    <w:p w14:paraId="2BB8475F" w14:textId="6B153A09" w:rsidR="008A5AB1" w:rsidRDefault="001E7BE3" w:rsidP="004503F9">
      <w:pPr>
        <w:jc w:val="both"/>
        <w:rPr>
          <w:szCs w:val="22"/>
        </w:rPr>
      </w:pPr>
      <w:r w:rsidRPr="001E7BE3">
        <w:rPr>
          <w:noProof/>
          <w:szCs w:val="22"/>
          <w:lang w:eastAsia="ko-KR"/>
        </w:rPr>
        <mc:AlternateContent>
          <mc:Choice Requires="wps">
            <w:drawing>
              <wp:anchor distT="45720" distB="45720" distL="114300" distR="114300" simplePos="0" relativeHeight="251659264" behindDoc="0" locked="0" layoutInCell="1" allowOverlap="1" wp14:anchorId="382525D4" wp14:editId="6F56AB51">
                <wp:simplePos x="0" y="0"/>
                <wp:positionH relativeFrom="margin">
                  <wp:align>left</wp:align>
                </wp:positionH>
                <wp:positionV relativeFrom="paragraph">
                  <wp:posOffset>814705</wp:posOffset>
                </wp:positionV>
                <wp:extent cx="6314440" cy="1404620"/>
                <wp:effectExtent l="0" t="0" r="1016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4440" cy="1404620"/>
                        </a:xfrm>
                        <a:prstGeom prst="rect">
                          <a:avLst/>
                        </a:prstGeom>
                        <a:solidFill>
                          <a:srgbClr val="FFFFFF"/>
                        </a:solidFill>
                        <a:ln w="9525">
                          <a:solidFill>
                            <a:srgbClr val="000000"/>
                          </a:solidFill>
                          <a:miter lim="800000"/>
                          <a:headEnd/>
                          <a:tailEnd/>
                        </a:ln>
                      </wps:spPr>
                      <wps:txbx>
                        <w:txbxContent>
                          <w:p w14:paraId="18CFDB53" w14:textId="7B3F3C21" w:rsidR="001E7BE3" w:rsidRDefault="001E7BE3" w:rsidP="001E7BE3">
                            <w:pPr>
                              <w:pStyle w:val="ListParagraph"/>
                              <w:ind w:leftChars="12" w:left="864" w:hanging="840"/>
                              <w:rPr>
                                <w:rFonts w:eastAsia="MS Mincho"/>
                                <w:szCs w:val="20"/>
                                <w:lang w:eastAsia="ja-JP"/>
                              </w:rPr>
                            </w:pPr>
                            <w:r w:rsidRPr="00337F00">
                              <w:rPr>
                                <w:rFonts w:eastAsia="MS Mincho" w:hint="eastAsia"/>
                                <w:b/>
                                <w:highlight w:val="green"/>
                                <w:u w:val="single"/>
                                <w:lang w:eastAsia="ja-JP"/>
                              </w:rPr>
                              <w:t>Agreements:</w:t>
                            </w:r>
                          </w:p>
                          <w:p w14:paraId="791DB938" w14:textId="77777777" w:rsidR="001E7BE3" w:rsidRPr="00F24B1D" w:rsidRDefault="001E7BE3" w:rsidP="001E7BE3">
                            <w:pPr>
                              <w:numPr>
                                <w:ilvl w:val="0"/>
                                <w:numId w:val="6"/>
                              </w:numPr>
                              <w:overflowPunct/>
                              <w:autoSpaceDE/>
                              <w:autoSpaceDN/>
                              <w:adjustRightInd/>
                              <w:spacing w:after="0"/>
                              <w:jc w:val="both"/>
                              <w:textAlignment w:val="auto"/>
                              <w:rPr>
                                <w:rFonts w:eastAsia="MS Mincho"/>
                                <w:lang w:eastAsia="ja-JP"/>
                              </w:rPr>
                            </w:pPr>
                            <w:r w:rsidRPr="00F24B1D">
                              <w:rPr>
                                <w:rFonts w:eastAsia="MS Mincho"/>
                                <w:lang w:eastAsia="ja-JP"/>
                              </w:rPr>
                              <w:t xml:space="preserve">NR supports a ‘group common PDCCH’ carrying information of e.g. the slot structure. </w:t>
                            </w:r>
                          </w:p>
                          <w:p w14:paraId="045790C9" w14:textId="77777777" w:rsidR="001E7BE3" w:rsidRPr="00F24B1D" w:rsidRDefault="001E7BE3" w:rsidP="001E7BE3">
                            <w:pPr>
                              <w:numPr>
                                <w:ilvl w:val="1"/>
                                <w:numId w:val="6"/>
                              </w:numPr>
                              <w:overflowPunct/>
                              <w:autoSpaceDE/>
                              <w:autoSpaceDN/>
                              <w:adjustRightInd/>
                              <w:spacing w:after="0"/>
                              <w:jc w:val="both"/>
                              <w:textAlignment w:val="auto"/>
                              <w:rPr>
                                <w:rFonts w:eastAsia="MS Mincho"/>
                                <w:lang w:eastAsia="ja-JP"/>
                              </w:rPr>
                            </w:pPr>
                            <w:r w:rsidRPr="00F24B1D">
                              <w:rPr>
                                <w:rFonts w:eastAsia="MS Mincho"/>
                                <w:lang w:eastAsia="ja-JP"/>
                              </w:rPr>
                              <w:t>If the UE does not receive the ‘group common PDCCH’ the UE should be able to receive at least PDCCH in a slot, at least if the gNB did not transmit the ‘group common PDCCH’.</w:t>
                            </w:r>
                          </w:p>
                          <w:p w14:paraId="2E5A10D0" w14:textId="77777777" w:rsidR="001E7BE3" w:rsidRPr="00F24B1D" w:rsidRDefault="001E7BE3" w:rsidP="001E7BE3">
                            <w:pPr>
                              <w:numPr>
                                <w:ilvl w:val="1"/>
                                <w:numId w:val="6"/>
                              </w:numPr>
                              <w:overflowPunct/>
                              <w:autoSpaceDE/>
                              <w:autoSpaceDN/>
                              <w:adjustRightInd/>
                              <w:spacing w:after="0"/>
                              <w:jc w:val="both"/>
                              <w:textAlignment w:val="auto"/>
                              <w:rPr>
                                <w:rFonts w:eastAsia="MS Mincho"/>
                                <w:lang w:eastAsia="ja-JP"/>
                              </w:rPr>
                            </w:pPr>
                            <w:r w:rsidRPr="00F24B1D">
                              <w:rPr>
                                <w:rFonts w:eastAsia="MS Mincho"/>
                                <w:lang w:eastAsia="ja-JP"/>
                              </w:rPr>
                              <w:t>The network will inform through RRC signalling the UE whether to decode the ‘group common PDCCH’ or not</w:t>
                            </w:r>
                          </w:p>
                          <w:p w14:paraId="5043D254" w14:textId="77777777" w:rsidR="001E7BE3" w:rsidRPr="00F24B1D" w:rsidRDefault="001E7BE3" w:rsidP="001E7BE3">
                            <w:pPr>
                              <w:numPr>
                                <w:ilvl w:val="1"/>
                                <w:numId w:val="6"/>
                              </w:numPr>
                              <w:overflowPunct/>
                              <w:autoSpaceDE/>
                              <w:autoSpaceDN/>
                              <w:adjustRightInd/>
                              <w:spacing w:after="0"/>
                              <w:jc w:val="both"/>
                              <w:textAlignment w:val="auto"/>
                              <w:rPr>
                                <w:rFonts w:eastAsia="MS Mincho"/>
                                <w:lang w:eastAsia="ja-JP"/>
                              </w:rPr>
                            </w:pPr>
                            <w:r w:rsidRPr="00F24B1D">
                              <w:rPr>
                                <w:rFonts w:eastAsia="MS Mincho"/>
                                <w:lang w:eastAsia="ja-JP"/>
                              </w:rPr>
                              <w:t>Common does not necessarily imply common per cell.</w:t>
                            </w:r>
                          </w:p>
                          <w:p w14:paraId="54E8C764" w14:textId="77777777" w:rsidR="001E7BE3" w:rsidRPr="00F24B1D" w:rsidRDefault="001E7BE3" w:rsidP="001E7BE3">
                            <w:pPr>
                              <w:numPr>
                                <w:ilvl w:val="1"/>
                                <w:numId w:val="6"/>
                              </w:numPr>
                              <w:overflowPunct/>
                              <w:autoSpaceDE/>
                              <w:autoSpaceDN/>
                              <w:adjustRightInd/>
                              <w:spacing w:after="0"/>
                              <w:jc w:val="both"/>
                              <w:textAlignment w:val="auto"/>
                              <w:rPr>
                                <w:rFonts w:eastAsia="MS Mincho"/>
                                <w:lang w:eastAsia="ja-JP"/>
                              </w:rPr>
                            </w:pPr>
                            <w:r w:rsidRPr="00F24B1D">
                              <w:t>Continue the discussion on the detailed content of the ‘group common PDCCH’ including usage for TDD and FDD</w:t>
                            </w:r>
                          </w:p>
                          <w:p w14:paraId="0136303B" w14:textId="77777777" w:rsidR="001E7BE3" w:rsidRPr="00F24B1D" w:rsidRDefault="001E7BE3" w:rsidP="001E7BE3">
                            <w:pPr>
                              <w:numPr>
                                <w:ilvl w:val="1"/>
                                <w:numId w:val="6"/>
                              </w:numPr>
                              <w:overflowPunct/>
                              <w:autoSpaceDE/>
                              <w:autoSpaceDN/>
                              <w:adjustRightInd/>
                              <w:spacing w:after="0"/>
                              <w:jc w:val="both"/>
                              <w:textAlignment w:val="auto"/>
                              <w:rPr>
                                <w:rFonts w:eastAsia="MS Mincho"/>
                                <w:lang w:eastAsia="ja-JP"/>
                              </w:rPr>
                            </w:pPr>
                            <w:r w:rsidRPr="00F24B1D">
                              <w:t>The term ‘group common PDCCH’ refers to a channel (either a PDCCH or a separately designed channel) that carries information intended for the group of UEs.</w:t>
                            </w:r>
                          </w:p>
                          <w:p w14:paraId="16E5064D" w14:textId="77777777" w:rsidR="001E7BE3" w:rsidRPr="00D810AA" w:rsidRDefault="001E7BE3" w:rsidP="001E7BE3">
                            <w:pPr>
                              <w:rPr>
                                <w:rFonts w:eastAsia="MS Mincho"/>
                                <w:b/>
                                <w:u w:val="single"/>
                                <w:lang w:eastAsia="ja-JP"/>
                              </w:rPr>
                            </w:pPr>
                            <w:r w:rsidRPr="00D810AA">
                              <w:rPr>
                                <w:rFonts w:eastAsia="MS Mincho" w:hint="eastAsia"/>
                                <w:b/>
                                <w:highlight w:val="green"/>
                                <w:u w:val="single"/>
                                <w:lang w:eastAsia="ja-JP"/>
                              </w:rPr>
                              <w:t>Agreements:</w:t>
                            </w:r>
                          </w:p>
                          <w:p w14:paraId="6B2F7AA8" w14:textId="77777777" w:rsidR="001E7BE3" w:rsidRPr="003413C9" w:rsidRDefault="001E7BE3" w:rsidP="001E7BE3">
                            <w:pPr>
                              <w:pStyle w:val="ListParagraph"/>
                              <w:numPr>
                                <w:ilvl w:val="0"/>
                                <w:numId w:val="7"/>
                              </w:numPr>
                              <w:contextualSpacing/>
                              <w:rPr>
                                <w:rFonts w:ascii="Times New Roman" w:eastAsia="MS Mincho" w:hAnsi="Times New Roman"/>
                                <w:sz w:val="20"/>
                                <w:szCs w:val="20"/>
                                <w:lang w:eastAsia="ja-JP"/>
                              </w:rPr>
                            </w:pPr>
                            <w:r w:rsidRPr="003413C9">
                              <w:rPr>
                                <w:rFonts w:ascii="Times New Roman" w:eastAsia="MS Mincho" w:hAnsi="Times New Roman"/>
                                <w:sz w:val="20"/>
                                <w:szCs w:val="20"/>
                                <w:lang w:eastAsia="ja-JP"/>
                              </w:rPr>
                              <w:t>The staring position of downlink data in a slot can be explicitly and dynamically indicated to the UE.</w:t>
                            </w:r>
                          </w:p>
                          <w:p w14:paraId="17817DB3" w14:textId="77777777" w:rsidR="001E7BE3" w:rsidRPr="003413C9" w:rsidRDefault="001E7BE3" w:rsidP="001E7BE3">
                            <w:pPr>
                              <w:pStyle w:val="ListParagraph"/>
                              <w:numPr>
                                <w:ilvl w:val="1"/>
                                <w:numId w:val="7"/>
                              </w:numPr>
                              <w:contextualSpacing/>
                              <w:rPr>
                                <w:rFonts w:ascii="Times New Roman" w:eastAsia="MS Mincho" w:hAnsi="Times New Roman"/>
                                <w:sz w:val="20"/>
                                <w:szCs w:val="20"/>
                                <w:lang w:eastAsia="ja-JP"/>
                              </w:rPr>
                            </w:pPr>
                            <w:r w:rsidRPr="003413C9">
                              <w:rPr>
                                <w:rFonts w:ascii="Times New Roman" w:eastAsia="MS Mincho" w:hAnsi="Times New Roman"/>
                                <w:sz w:val="20"/>
                                <w:szCs w:val="20"/>
                                <w:lang w:eastAsia="ja-JP"/>
                              </w:rPr>
                              <w:t>FFS: signaled in the UE-specific DCI and/or a ‘group-common PDCCH’</w:t>
                            </w:r>
                          </w:p>
                          <w:p w14:paraId="5DC0053B" w14:textId="77777777" w:rsidR="001E7BE3" w:rsidRPr="003413C9" w:rsidRDefault="001E7BE3" w:rsidP="001E7BE3">
                            <w:pPr>
                              <w:pStyle w:val="ListParagraph"/>
                              <w:numPr>
                                <w:ilvl w:val="1"/>
                                <w:numId w:val="7"/>
                              </w:numPr>
                              <w:contextualSpacing/>
                              <w:rPr>
                                <w:rFonts w:ascii="Times New Roman" w:eastAsia="MS Mincho" w:hAnsi="Times New Roman"/>
                                <w:sz w:val="20"/>
                                <w:szCs w:val="20"/>
                                <w:lang w:eastAsia="ja-JP"/>
                              </w:rPr>
                            </w:pPr>
                            <w:r w:rsidRPr="003413C9">
                              <w:rPr>
                                <w:rFonts w:ascii="Times New Roman" w:eastAsia="MS Mincho" w:hAnsi="Times New Roman"/>
                                <w:sz w:val="20"/>
                                <w:szCs w:val="20"/>
                                <w:lang w:eastAsia="ja-JP"/>
                              </w:rPr>
                              <w:t>FFS: how and with what granularity the unused control resource set(s) can be used for data</w:t>
                            </w:r>
                          </w:p>
                          <w:p w14:paraId="2A959408" w14:textId="77777777" w:rsidR="001E7BE3" w:rsidRPr="007F7517" w:rsidRDefault="001E7BE3" w:rsidP="001E7BE3">
                            <w:pPr>
                              <w:rPr>
                                <w:rFonts w:eastAsia="MS Mincho"/>
                                <w:b/>
                                <w:u w:val="single"/>
                                <w:lang w:eastAsia="ja-JP"/>
                              </w:rPr>
                            </w:pPr>
                            <w:r w:rsidRPr="00633195">
                              <w:rPr>
                                <w:rFonts w:eastAsia="MS Mincho" w:hint="eastAsia"/>
                                <w:b/>
                                <w:highlight w:val="green"/>
                                <w:u w:val="single"/>
                                <w:lang w:eastAsia="ja-JP"/>
                              </w:rPr>
                              <w:t>Agreements:</w:t>
                            </w:r>
                          </w:p>
                          <w:p w14:paraId="475CCA74" w14:textId="77777777" w:rsidR="001E7BE3" w:rsidRPr="003413C9" w:rsidRDefault="001E7BE3" w:rsidP="001E7BE3">
                            <w:pPr>
                              <w:pStyle w:val="ListParagraph"/>
                              <w:numPr>
                                <w:ilvl w:val="0"/>
                                <w:numId w:val="8"/>
                              </w:numPr>
                              <w:contextualSpacing/>
                              <w:rPr>
                                <w:rFonts w:ascii="Times New Roman" w:eastAsia="MS Mincho" w:hAnsi="Times New Roman"/>
                                <w:sz w:val="20"/>
                                <w:szCs w:val="20"/>
                                <w:lang w:eastAsia="ja-JP"/>
                              </w:rPr>
                            </w:pPr>
                            <w:r w:rsidRPr="003413C9">
                              <w:rPr>
                                <w:rFonts w:ascii="Times New Roman" w:eastAsia="MS Mincho" w:hAnsi="Times New Roman"/>
                                <w:sz w:val="20"/>
                                <w:szCs w:val="20"/>
                                <w:lang w:eastAsia="ja-JP"/>
                              </w:rPr>
                              <w:t>The UE will have the possibility to determine whether some blind decodings can be skipped based on information on a ‘group common PDCCH’ (if present).</w:t>
                            </w:r>
                          </w:p>
                          <w:p w14:paraId="4DCF8BEC" w14:textId="77777777" w:rsidR="001E7BE3" w:rsidRPr="003413C9" w:rsidRDefault="001E7BE3" w:rsidP="001E7BE3">
                            <w:pPr>
                              <w:pStyle w:val="ListParagraph"/>
                              <w:numPr>
                                <w:ilvl w:val="0"/>
                                <w:numId w:val="8"/>
                              </w:numPr>
                              <w:contextualSpacing/>
                              <w:rPr>
                                <w:rFonts w:ascii="Times New Roman" w:eastAsia="MS Mincho" w:hAnsi="Times New Roman"/>
                                <w:sz w:val="20"/>
                                <w:szCs w:val="20"/>
                                <w:lang w:eastAsia="ja-JP"/>
                              </w:rPr>
                            </w:pPr>
                            <w:r w:rsidRPr="003413C9">
                              <w:rPr>
                                <w:rFonts w:ascii="Times New Roman" w:eastAsia="MS Mincho" w:hAnsi="Times New Roman"/>
                                <w:sz w:val="20"/>
                                <w:szCs w:val="20"/>
                                <w:lang w:eastAsia="ja-JP"/>
                              </w:rPr>
                              <w:t>FFS: if the data starting position is signaled on the group common PDCCH, the UE may exploit this information to skip some blind decodings</w:t>
                            </w:r>
                          </w:p>
                          <w:p w14:paraId="2E37B706" w14:textId="77777777" w:rsidR="001E7BE3" w:rsidRPr="003413C9" w:rsidRDefault="001E7BE3" w:rsidP="001E7BE3">
                            <w:pPr>
                              <w:pStyle w:val="ListParagraph"/>
                              <w:numPr>
                                <w:ilvl w:val="0"/>
                                <w:numId w:val="8"/>
                              </w:numPr>
                              <w:contextualSpacing/>
                              <w:rPr>
                                <w:rFonts w:ascii="Times New Roman" w:eastAsia="MS Mincho" w:hAnsi="Times New Roman"/>
                                <w:sz w:val="20"/>
                                <w:szCs w:val="20"/>
                                <w:lang w:eastAsia="ja-JP"/>
                              </w:rPr>
                            </w:pPr>
                            <w:r w:rsidRPr="003413C9">
                              <w:rPr>
                                <w:rFonts w:ascii="Times New Roman" w:eastAsia="MS Mincho" w:hAnsi="Times New Roman"/>
                                <w:sz w:val="20"/>
                                <w:szCs w:val="20"/>
                                <w:lang w:eastAsia="ja-JP"/>
                              </w:rPr>
                              <w:t>FFS: if the end of the control resource set is signaled on the ‘group common PDCCH’, the UE may exploit this information to skip some blind decodings</w:t>
                            </w:r>
                          </w:p>
                          <w:p w14:paraId="2A75364D" w14:textId="77777777" w:rsidR="001E7BE3" w:rsidRPr="003413C9" w:rsidRDefault="001E7BE3" w:rsidP="001E7BE3">
                            <w:pPr>
                              <w:pStyle w:val="ListParagraph"/>
                              <w:numPr>
                                <w:ilvl w:val="0"/>
                                <w:numId w:val="8"/>
                              </w:numPr>
                              <w:contextualSpacing/>
                              <w:rPr>
                                <w:rFonts w:ascii="Times New Roman" w:eastAsia="MS Mincho" w:hAnsi="Times New Roman"/>
                                <w:sz w:val="20"/>
                                <w:szCs w:val="20"/>
                                <w:lang w:eastAsia="ja-JP"/>
                              </w:rPr>
                            </w:pPr>
                            <w:r w:rsidRPr="003413C9">
                              <w:rPr>
                                <w:rFonts w:ascii="Times New Roman" w:eastAsia="MS Mincho" w:hAnsi="Times New Roman"/>
                                <w:sz w:val="20"/>
                                <w:szCs w:val="20"/>
                                <w:lang w:eastAsia="ja-JP"/>
                              </w:rPr>
                              <w:t>FFS: how to handle the case when there is no ‘group common PDCCH’ in a slot</w:t>
                            </w:r>
                          </w:p>
                          <w:p w14:paraId="6DB0E8A2" w14:textId="77777777" w:rsidR="001E7BE3" w:rsidRPr="003413C9" w:rsidRDefault="001E7BE3" w:rsidP="001E7BE3">
                            <w:pPr>
                              <w:pStyle w:val="ListParagraph"/>
                              <w:numPr>
                                <w:ilvl w:val="0"/>
                                <w:numId w:val="8"/>
                              </w:numPr>
                              <w:contextualSpacing/>
                              <w:rPr>
                                <w:rFonts w:ascii="Times New Roman" w:eastAsia="MS Mincho" w:hAnsi="Times New Roman"/>
                                <w:sz w:val="20"/>
                                <w:szCs w:val="20"/>
                                <w:lang w:eastAsia="ja-JP"/>
                              </w:rPr>
                            </w:pPr>
                            <w:r w:rsidRPr="003413C9">
                              <w:rPr>
                                <w:rFonts w:ascii="Times New Roman" w:eastAsia="MS Mincho" w:hAnsi="Times New Roman"/>
                                <w:sz w:val="20"/>
                                <w:szCs w:val="20"/>
                                <w:lang w:eastAsia="ja-JP"/>
                              </w:rPr>
                              <w:t>When monitoring for a PDCCH, the UE should be able to process a detected PDCCH irrespective of whether the ‘group common PDCCH’ is received or not</w:t>
                            </w:r>
                          </w:p>
                          <w:p w14:paraId="36D985B0" w14:textId="77777777" w:rsidR="001E7BE3" w:rsidRPr="00476354" w:rsidRDefault="001E7BE3" w:rsidP="001E7BE3">
                            <w:pPr>
                              <w:pStyle w:val="BodyText"/>
                              <w:spacing w:after="0"/>
                              <w:rPr>
                                <w:b/>
                                <w:szCs w:val="20"/>
                                <w:u w:val="single"/>
                                <w:lang w:eastAsia="ja-JP"/>
                              </w:rPr>
                            </w:pPr>
                            <w:r w:rsidRPr="00BA7C2D">
                              <w:rPr>
                                <w:rFonts w:eastAsia="MS Mincho" w:hint="eastAsia"/>
                                <w:b/>
                                <w:szCs w:val="20"/>
                                <w:highlight w:val="green"/>
                                <w:u w:val="single"/>
                                <w:lang w:eastAsia="ja-JP"/>
                              </w:rPr>
                              <w:t>Agreements:</w:t>
                            </w:r>
                          </w:p>
                          <w:p w14:paraId="51EA8E13" w14:textId="77777777" w:rsidR="001E7BE3" w:rsidRPr="00476354" w:rsidRDefault="001E7BE3" w:rsidP="001E7BE3">
                            <w:pPr>
                              <w:pStyle w:val="BodyText"/>
                              <w:numPr>
                                <w:ilvl w:val="0"/>
                                <w:numId w:val="9"/>
                              </w:numPr>
                              <w:overflowPunct/>
                              <w:autoSpaceDE/>
                              <w:autoSpaceDN/>
                              <w:adjustRightInd/>
                              <w:spacing w:after="0"/>
                              <w:textAlignment w:val="auto"/>
                              <w:rPr>
                                <w:szCs w:val="20"/>
                                <w:lang w:eastAsia="ja-JP"/>
                              </w:rPr>
                            </w:pPr>
                            <w:r w:rsidRPr="00476354">
                              <w:rPr>
                                <w:szCs w:val="20"/>
                                <w:lang w:eastAsia="ja-JP"/>
                              </w:rPr>
                              <w:t>‘Slot format related information’</w:t>
                            </w:r>
                          </w:p>
                          <w:p w14:paraId="2E594047" w14:textId="77777777" w:rsidR="001E7BE3" w:rsidRPr="00476354" w:rsidRDefault="001E7BE3" w:rsidP="001E7BE3">
                            <w:pPr>
                              <w:pStyle w:val="BodyText"/>
                              <w:numPr>
                                <w:ilvl w:val="1"/>
                                <w:numId w:val="9"/>
                              </w:numPr>
                              <w:overflowPunct/>
                              <w:autoSpaceDE/>
                              <w:autoSpaceDN/>
                              <w:adjustRightInd/>
                              <w:spacing w:after="0"/>
                              <w:textAlignment w:val="auto"/>
                              <w:rPr>
                                <w:szCs w:val="20"/>
                                <w:lang w:eastAsia="ja-JP"/>
                              </w:rPr>
                            </w:pPr>
                            <w:r w:rsidRPr="00476354">
                              <w:rPr>
                                <w:szCs w:val="20"/>
                                <w:lang w:eastAsia="ja-JP"/>
                              </w:rPr>
                              <w:t>Information from which the UE can derive at least which symbols in a slot that are ‘DL’, ‘UL’ (for Rel-15), and ‘other’, respectively</w:t>
                            </w:r>
                          </w:p>
                          <w:p w14:paraId="3103A14F" w14:textId="77777777" w:rsidR="001E7BE3" w:rsidRPr="00476354" w:rsidRDefault="001E7BE3" w:rsidP="001E7BE3">
                            <w:pPr>
                              <w:pStyle w:val="BodyText"/>
                              <w:numPr>
                                <w:ilvl w:val="1"/>
                                <w:numId w:val="9"/>
                              </w:numPr>
                              <w:overflowPunct/>
                              <w:autoSpaceDE/>
                              <w:autoSpaceDN/>
                              <w:adjustRightInd/>
                              <w:spacing w:after="0"/>
                              <w:textAlignment w:val="auto"/>
                              <w:rPr>
                                <w:szCs w:val="20"/>
                                <w:lang w:eastAsia="ja-JP"/>
                              </w:rPr>
                            </w:pPr>
                            <w:r w:rsidRPr="00476354">
                              <w:rPr>
                                <w:szCs w:val="20"/>
                                <w:lang w:eastAsia="ja-JP"/>
                              </w:rPr>
                              <w:t>FFS: if ‘other’ can be subdivided into ‘blank’, ‘sidelink’, etc</w:t>
                            </w:r>
                          </w:p>
                          <w:p w14:paraId="73503268" w14:textId="77777777" w:rsidR="001E7BE3" w:rsidRPr="00476354" w:rsidRDefault="001E7BE3" w:rsidP="001E7BE3">
                            <w:pPr>
                              <w:pStyle w:val="BodyText"/>
                              <w:numPr>
                                <w:ilvl w:val="0"/>
                                <w:numId w:val="9"/>
                              </w:numPr>
                              <w:overflowPunct/>
                              <w:autoSpaceDE/>
                              <w:autoSpaceDN/>
                              <w:adjustRightInd/>
                              <w:spacing w:after="0"/>
                              <w:textAlignment w:val="auto"/>
                              <w:rPr>
                                <w:szCs w:val="20"/>
                                <w:lang w:eastAsia="ja-JP"/>
                              </w:rPr>
                            </w:pPr>
                            <w:r w:rsidRPr="00BA7C2D">
                              <w:rPr>
                                <w:rFonts w:eastAsia="MS Mincho" w:hint="eastAsia"/>
                                <w:szCs w:val="20"/>
                                <w:lang w:eastAsia="ja-JP"/>
                              </w:rPr>
                              <w:t xml:space="preserve">FFS: </w:t>
                            </w:r>
                            <w:r w:rsidRPr="00476354">
                              <w:rPr>
                                <w:szCs w:val="20"/>
                                <w:lang w:eastAsia="ja-JP"/>
                              </w:rPr>
                              <w:t>‘Control resource set duration’</w:t>
                            </w:r>
                          </w:p>
                          <w:p w14:paraId="66AAB065" w14:textId="77777777" w:rsidR="001E7BE3" w:rsidRPr="00476354" w:rsidRDefault="001E7BE3" w:rsidP="001E7BE3">
                            <w:pPr>
                              <w:pStyle w:val="BodyText"/>
                              <w:numPr>
                                <w:ilvl w:val="1"/>
                                <w:numId w:val="9"/>
                              </w:numPr>
                              <w:overflowPunct/>
                              <w:autoSpaceDE/>
                              <w:autoSpaceDN/>
                              <w:adjustRightInd/>
                              <w:spacing w:after="0"/>
                              <w:textAlignment w:val="auto"/>
                              <w:rPr>
                                <w:szCs w:val="20"/>
                                <w:lang w:eastAsia="ja-JP"/>
                              </w:rPr>
                            </w:pPr>
                            <w:r w:rsidRPr="00BA7C2D">
                              <w:rPr>
                                <w:rFonts w:eastAsia="MS Mincho" w:hint="eastAsia"/>
                                <w:szCs w:val="20"/>
                                <w:lang w:eastAsia="ja-JP"/>
                              </w:rPr>
                              <w:t xml:space="preserve">FFS: </w:t>
                            </w:r>
                            <w:r w:rsidRPr="00476354">
                              <w:rPr>
                                <w:szCs w:val="20"/>
                                <w:lang w:eastAsia="ja-JP"/>
                              </w:rPr>
                              <w:t xml:space="preserve">Indicates the duration of the control resource set(s) </w:t>
                            </w:r>
                          </w:p>
                          <w:p w14:paraId="494BF959" w14:textId="35E913B1" w:rsidR="001E7BE3" w:rsidRPr="001E7BE3" w:rsidRDefault="001E7BE3" w:rsidP="001E7BE3">
                            <w:pPr>
                              <w:pStyle w:val="BodyText"/>
                              <w:numPr>
                                <w:ilvl w:val="1"/>
                                <w:numId w:val="9"/>
                              </w:numPr>
                              <w:overflowPunct/>
                              <w:autoSpaceDE/>
                              <w:autoSpaceDN/>
                              <w:adjustRightInd/>
                              <w:spacing w:after="0"/>
                              <w:textAlignment w:val="auto"/>
                              <w:rPr>
                                <w:szCs w:val="20"/>
                                <w:lang w:eastAsia="ja-JP"/>
                              </w:rPr>
                            </w:pPr>
                            <w:r w:rsidRPr="00BA7C2D">
                              <w:rPr>
                                <w:rFonts w:eastAsia="MS Mincho" w:hint="eastAsia"/>
                                <w:szCs w:val="20"/>
                                <w:lang w:eastAsia="ja-JP"/>
                              </w:rPr>
                              <w:t xml:space="preserve">FFS: </w:t>
                            </w:r>
                            <w:r w:rsidRPr="00476354">
                              <w:rPr>
                                <w:szCs w:val="20"/>
                                <w:lang w:eastAsia="ja-JP"/>
                              </w:rPr>
                              <w:t>Can help the UE skip some of the semi-statically configured blind decodings. If not received, the UE performs all blind decodings.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w16se="http://schemas.microsoft.com/office/word/2015/wordml/symex">
            <w:pict>
              <v:shapetype w14:anchorId="382525D4" id="_x0000_t202" coordsize="21600,21600" o:spt="202" path="m,l,21600r21600,l21600,xe">
                <v:stroke joinstyle="miter"/>
                <v:path gradientshapeok="t" o:connecttype="rect"/>
              </v:shapetype>
              <v:shape id="Text Box 2" o:spid="_x0000_s1026" type="#_x0000_t202" style="position:absolute;left:0;text-align:left;margin-left:0;margin-top:64.15pt;width:497.2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">
                <v:textbox style="mso-fit-shape-to-text:t">
                  <w:txbxContent>
                    <w:p w14:paraId="18CFDB53" w14:textId="7B3F3C21" w:rsidR="001E7BE3" w:rsidRDefault="001E7BE3" w:rsidP="001E7BE3">
                      <w:pPr>
                        <w:pStyle w:val="ListParagraph"/>
                        <w:ind w:leftChars="12" w:left="864" w:hanging="840"/>
                        <w:rPr>
                          <w:rFonts w:eastAsia="MS Mincho"/>
                          <w:szCs w:val="20"/>
                          <w:lang w:eastAsia="ja-JP"/>
                        </w:rPr>
                      </w:pPr>
                      <w:r w:rsidRPr="00337F00">
                        <w:rPr>
                          <w:rFonts w:eastAsia="MS Mincho" w:hint="eastAsia"/>
                          <w:b/>
                          <w:highlight w:val="green"/>
                          <w:u w:val="single"/>
                          <w:lang w:eastAsia="ja-JP"/>
                        </w:rPr>
                        <w:t>Agreements:</w:t>
                      </w:r>
                    </w:p>
                    <w:p w14:paraId="791DB938" w14:textId="77777777" w:rsidR="001E7BE3" w:rsidRPr="00F24B1D" w:rsidRDefault="001E7BE3" w:rsidP="001E7BE3">
                      <w:pPr>
                        <w:numPr>
                          <w:ilvl w:val="0"/>
                          <w:numId w:val="6"/>
                        </w:numPr>
                        <w:overflowPunct/>
                        <w:autoSpaceDE/>
                        <w:autoSpaceDN/>
                        <w:adjustRightInd/>
                        <w:spacing w:after="0"/>
                        <w:jc w:val="both"/>
                        <w:textAlignment w:val="auto"/>
                        <w:rPr>
                          <w:rFonts w:eastAsia="MS Mincho"/>
                          <w:lang w:eastAsia="ja-JP"/>
                        </w:rPr>
                      </w:pPr>
                      <w:r w:rsidRPr="00F24B1D">
                        <w:rPr>
                          <w:rFonts w:eastAsia="MS Mincho"/>
                          <w:lang w:eastAsia="ja-JP"/>
                        </w:rPr>
                        <w:t xml:space="preserve">NR supports a ‘group common PDCCH’ carrying information of e.g. the slot structure. </w:t>
                      </w:r>
                    </w:p>
                    <w:p w14:paraId="045790C9" w14:textId="77777777" w:rsidR="001E7BE3" w:rsidRPr="00F24B1D" w:rsidRDefault="001E7BE3" w:rsidP="001E7BE3">
                      <w:pPr>
                        <w:numPr>
                          <w:ilvl w:val="1"/>
                          <w:numId w:val="6"/>
                        </w:numPr>
                        <w:overflowPunct/>
                        <w:autoSpaceDE/>
                        <w:autoSpaceDN/>
                        <w:adjustRightInd/>
                        <w:spacing w:after="0"/>
                        <w:jc w:val="both"/>
                        <w:textAlignment w:val="auto"/>
                        <w:rPr>
                          <w:rFonts w:eastAsia="MS Mincho"/>
                          <w:lang w:eastAsia="ja-JP"/>
                        </w:rPr>
                      </w:pPr>
                      <w:r w:rsidRPr="00F24B1D">
                        <w:rPr>
                          <w:rFonts w:eastAsia="MS Mincho"/>
                          <w:lang w:eastAsia="ja-JP"/>
                        </w:rPr>
                        <w:t>If the UE does not receive the ‘group common PDCCH’ the UE should be able to receive at least PDCCH in a slot, at least if the gNB did not transmit the ‘group common PDCCH’.</w:t>
                      </w:r>
                    </w:p>
                    <w:p w14:paraId="2E5A10D0" w14:textId="77777777" w:rsidR="001E7BE3" w:rsidRPr="00F24B1D" w:rsidRDefault="001E7BE3" w:rsidP="001E7BE3">
                      <w:pPr>
                        <w:numPr>
                          <w:ilvl w:val="1"/>
                          <w:numId w:val="6"/>
                        </w:numPr>
                        <w:overflowPunct/>
                        <w:autoSpaceDE/>
                        <w:autoSpaceDN/>
                        <w:adjustRightInd/>
                        <w:spacing w:after="0"/>
                        <w:jc w:val="both"/>
                        <w:textAlignment w:val="auto"/>
                        <w:rPr>
                          <w:rFonts w:eastAsia="MS Mincho"/>
                          <w:lang w:eastAsia="ja-JP"/>
                        </w:rPr>
                      </w:pPr>
                      <w:r w:rsidRPr="00F24B1D">
                        <w:rPr>
                          <w:rFonts w:eastAsia="MS Mincho"/>
                          <w:lang w:eastAsia="ja-JP"/>
                        </w:rPr>
                        <w:t>The network will inform through RRC signalling the UE whether to decode the ‘group common PDCCH’ or not</w:t>
                      </w:r>
                    </w:p>
                    <w:p w14:paraId="5043D254" w14:textId="77777777" w:rsidR="001E7BE3" w:rsidRPr="00F24B1D" w:rsidRDefault="001E7BE3" w:rsidP="001E7BE3">
                      <w:pPr>
                        <w:numPr>
                          <w:ilvl w:val="1"/>
                          <w:numId w:val="6"/>
                        </w:numPr>
                        <w:overflowPunct/>
                        <w:autoSpaceDE/>
                        <w:autoSpaceDN/>
                        <w:adjustRightInd/>
                        <w:spacing w:after="0"/>
                        <w:jc w:val="both"/>
                        <w:textAlignment w:val="auto"/>
                        <w:rPr>
                          <w:rFonts w:eastAsia="MS Mincho"/>
                          <w:lang w:eastAsia="ja-JP"/>
                        </w:rPr>
                      </w:pPr>
                      <w:r w:rsidRPr="00F24B1D">
                        <w:rPr>
                          <w:rFonts w:eastAsia="MS Mincho"/>
                          <w:lang w:eastAsia="ja-JP"/>
                        </w:rPr>
                        <w:t>Common does not necessarily imply common per cell.</w:t>
                      </w:r>
                    </w:p>
                    <w:p w14:paraId="54E8C764" w14:textId="77777777" w:rsidR="001E7BE3" w:rsidRPr="00F24B1D" w:rsidRDefault="001E7BE3" w:rsidP="001E7BE3">
                      <w:pPr>
                        <w:numPr>
                          <w:ilvl w:val="1"/>
                          <w:numId w:val="6"/>
                        </w:numPr>
                        <w:overflowPunct/>
                        <w:autoSpaceDE/>
                        <w:autoSpaceDN/>
                        <w:adjustRightInd/>
                        <w:spacing w:after="0"/>
                        <w:jc w:val="both"/>
                        <w:textAlignment w:val="auto"/>
                        <w:rPr>
                          <w:rFonts w:eastAsia="MS Mincho"/>
                          <w:lang w:eastAsia="ja-JP"/>
                        </w:rPr>
                      </w:pPr>
                      <w:r w:rsidRPr="00F24B1D">
                        <w:t>Continue the discussion on the detailed content of the ‘group common PDCCH’ including usage for TDD and FDD</w:t>
                      </w:r>
                    </w:p>
                    <w:p w14:paraId="0136303B" w14:textId="77777777" w:rsidR="001E7BE3" w:rsidRPr="00F24B1D" w:rsidRDefault="001E7BE3" w:rsidP="001E7BE3">
                      <w:pPr>
                        <w:numPr>
                          <w:ilvl w:val="1"/>
                          <w:numId w:val="6"/>
                        </w:numPr>
                        <w:overflowPunct/>
                        <w:autoSpaceDE/>
                        <w:autoSpaceDN/>
                        <w:adjustRightInd/>
                        <w:spacing w:after="0"/>
                        <w:jc w:val="both"/>
                        <w:textAlignment w:val="auto"/>
                        <w:rPr>
                          <w:rFonts w:eastAsia="MS Mincho"/>
                          <w:lang w:eastAsia="ja-JP"/>
                        </w:rPr>
                      </w:pPr>
                      <w:r w:rsidRPr="00F24B1D">
                        <w:t>The term ‘group common PDCCH’ refers to a channel (either a PDCCH or a separately designed channel) that carries information intended for the group of UEs.</w:t>
                      </w:r>
                    </w:p>
                    <w:p w14:paraId="16E5064D" w14:textId="77777777" w:rsidR="001E7BE3" w:rsidRPr="00D810AA" w:rsidRDefault="001E7BE3" w:rsidP="001E7BE3">
                      <w:pPr>
                        <w:rPr>
                          <w:rFonts w:eastAsia="MS Mincho"/>
                          <w:b/>
                          <w:u w:val="single"/>
                          <w:lang w:eastAsia="ja-JP"/>
                        </w:rPr>
                      </w:pPr>
                      <w:r w:rsidRPr="00D810AA">
                        <w:rPr>
                          <w:rFonts w:eastAsia="MS Mincho" w:hint="eastAsia"/>
                          <w:b/>
                          <w:highlight w:val="green"/>
                          <w:u w:val="single"/>
                          <w:lang w:eastAsia="ja-JP"/>
                        </w:rPr>
                        <w:t>Agreements:</w:t>
                      </w:r>
                    </w:p>
                    <w:p w14:paraId="6B2F7AA8" w14:textId="77777777" w:rsidR="001E7BE3" w:rsidRPr="003413C9" w:rsidRDefault="001E7BE3" w:rsidP="001E7BE3">
                      <w:pPr>
                        <w:pStyle w:val="ListParagraph"/>
                        <w:numPr>
                          <w:ilvl w:val="0"/>
                          <w:numId w:val="7"/>
                        </w:numPr>
                        <w:contextualSpacing/>
                        <w:rPr>
                          <w:rFonts w:ascii="Times New Roman" w:eastAsia="MS Mincho" w:hAnsi="Times New Roman"/>
                          <w:sz w:val="20"/>
                          <w:szCs w:val="20"/>
                          <w:lang w:eastAsia="ja-JP"/>
                        </w:rPr>
                      </w:pPr>
                      <w:r w:rsidRPr="003413C9">
                        <w:rPr>
                          <w:rFonts w:ascii="Times New Roman" w:eastAsia="MS Mincho" w:hAnsi="Times New Roman"/>
                          <w:sz w:val="20"/>
                          <w:szCs w:val="20"/>
                          <w:lang w:eastAsia="ja-JP"/>
                        </w:rPr>
                        <w:t>The staring position of downlink data in a slot can be explicitly and dynamically indicated to the UE.</w:t>
                      </w:r>
                    </w:p>
                    <w:p w14:paraId="17817DB3" w14:textId="77777777" w:rsidR="001E7BE3" w:rsidRPr="003413C9" w:rsidRDefault="001E7BE3" w:rsidP="001E7BE3">
                      <w:pPr>
                        <w:pStyle w:val="ListParagraph"/>
                        <w:numPr>
                          <w:ilvl w:val="1"/>
                          <w:numId w:val="7"/>
                        </w:numPr>
                        <w:contextualSpacing/>
                        <w:rPr>
                          <w:rFonts w:ascii="Times New Roman" w:eastAsia="MS Mincho" w:hAnsi="Times New Roman"/>
                          <w:sz w:val="20"/>
                          <w:szCs w:val="20"/>
                          <w:lang w:eastAsia="ja-JP"/>
                        </w:rPr>
                      </w:pPr>
                      <w:r w:rsidRPr="003413C9">
                        <w:rPr>
                          <w:rFonts w:ascii="Times New Roman" w:eastAsia="MS Mincho" w:hAnsi="Times New Roman"/>
                          <w:sz w:val="20"/>
                          <w:szCs w:val="20"/>
                          <w:lang w:eastAsia="ja-JP"/>
                        </w:rPr>
                        <w:t>FFS: signaled in the UE-specific DCI and/or a ‘group-common PDCCH’</w:t>
                      </w:r>
                    </w:p>
                    <w:p w14:paraId="5DC0053B" w14:textId="77777777" w:rsidR="001E7BE3" w:rsidRPr="003413C9" w:rsidRDefault="001E7BE3" w:rsidP="001E7BE3">
                      <w:pPr>
                        <w:pStyle w:val="ListParagraph"/>
                        <w:numPr>
                          <w:ilvl w:val="1"/>
                          <w:numId w:val="7"/>
                        </w:numPr>
                        <w:contextualSpacing/>
                        <w:rPr>
                          <w:rFonts w:ascii="Times New Roman" w:eastAsia="MS Mincho" w:hAnsi="Times New Roman"/>
                          <w:sz w:val="20"/>
                          <w:szCs w:val="20"/>
                          <w:lang w:eastAsia="ja-JP"/>
                        </w:rPr>
                      </w:pPr>
                      <w:r w:rsidRPr="003413C9">
                        <w:rPr>
                          <w:rFonts w:ascii="Times New Roman" w:eastAsia="MS Mincho" w:hAnsi="Times New Roman"/>
                          <w:sz w:val="20"/>
                          <w:szCs w:val="20"/>
                          <w:lang w:eastAsia="ja-JP"/>
                        </w:rPr>
                        <w:t>FFS: how and with what granularity the unused control resource set(s) can be used for data</w:t>
                      </w:r>
                    </w:p>
                    <w:p w14:paraId="2A959408" w14:textId="77777777" w:rsidR="001E7BE3" w:rsidRPr="007F7517" w:rsidRDefault="001E7BE3" w:rsidP="001E7BE3">
                      <w:pPr>
                        <w:rPr>
                          <w:rFonts w:eastAsia="MS Mincho"/>
                          <w:b/>
                          <w:u w:val="single"/>
                          <w:lang w:eastAsia="ja-JP"/>
                        </w:rPr>
                      </w:pPr>
                      <w:r w:rsidRPr="00633195">
                        <w:rPr>
                          <w:rFonts w:eastAsia="MS Mincho" w:hint="eastAsia"/>
                          <w:b/>
                          <w:highlight w:val="green"/>
                          <w:u w:val="single"/>
                          <w:lang w:eastAsia="ja-JP"/>
                        </w:rPr>
                        <w:t>Agreements:</w:t>
                      </w:r>
                    </w:p>
                    <w:p w14:paraId="475CCA74" w14:textId="77777777" w:rsidR="001E7BE3" w:rsidRPr="003413C9" w:rsidRDefault="001E7BE3" w:rsidP="001E7BE3">
                      <w:pPr>
                        <w:pStyle w:val="ListParagraph"/>
                        <w:numPr>
                          <w:ilvl w:val="0"/>
                          <w:numId w:val="8"/>
                        </w:numPr>
                        <w:contextualSpacing/>
                        <w:rPr>
                          <w:rFonts w:ascii="Times New Roman" w:eastAsia="MS Mincho" w:hAnsi="Times New Roman"/>
                          <w:sz w:val="20"/>
                          <w:szCs w:val="20"/>
                          <w:lang w:eastAsia="ja-JP"/>
                        </w:rPr>
                      </w:pPr>
                      <w:r w:rsidRPr="003413C9">
                        <w:rPr>
                          <w:rFonts w:ascii="Times New Roman" w:eastAsia="MS Mincho" w:hAnsi="Times New Roman"/>
                          <w:sz w:val="20"/>
                          <w:szCs w:val="20"/>
                          <w:lang w:eastAsia="ja-JP"/>
                        </w:rPr>
                        <w:t>The UE will have the possibility to determine whether some blind decodings can be skipped based on information on a ‘group common PDCCH’ (if present).</w:t>
                      </w:r>
                    </w:p>
                    <w:p w14:paraId="4DCF8BEC" w14:textId="77777777" w:rsidR="001E7BE3" w:rsidRPr="003413C9" w:rsidRDefault="001E7BE3" w:rsidP="001E7BE3">
                      <w:pPr>
                        <w:pStyle w:val="ListParagraph"/>
                        <w:numPr>
                          <w:ilvl w:val="0"/>
                          <w:numId w:val="8"/>
                        </w:numPr>
                        <w:contextualSpacing/>
                        <w:rPr>
                          <w:rFonts w:ascii="Times New Roman" w:eastAsia="MS Mincho" w:hAnsi="Times New Roman"/>
                          <w:sz w:val="20"/>
                          <w:szCs w:val="20"/>
                          <w:lang w:eastAsia="ja-JP"/>
                        </w:rPr>
                      </w:pPr>
                      <w:r w:rsidRPr="003413C9">
                        <w:rPr>
                          <w:rFonts w:ascii="Times New Roman" w:eastAsia="MS Mincho" w:hAnsi="Times New Roman"/>
                          <w:sz w:val="20"/>
                          <w:szCs w:val="20"/>
                          <w:lang w:eastAsia="ja-JP"/>
                        </w:rPr>
                        <w:t>FFS: if the data starting position is signaled on the group common PDCCH, the UE may exploit this information to skip some blind decodings</w:t>
                      </w:r>
                    </w:p>
                    <w:p w14:paraId="2E37B706" w14:textId="77777777" w:rsidR="001E7BE3" w:rsidRPr="003413C9" w:rsidRDefault="001E7BE3" w:rsidP="001E7BE3">
                      <w:pPr>
                        <w:pStyle w:val="ListParagraph"/>
                        <w:numPr>
                          <w:ilvl w:val="0"/>
                          <w:numId w:val="8"/>
                        </w:numPr>
                        <w:contextualSpacing/>
                        <w:rPr>
                          <w:rFonts w:ascii="Times New Roman" w:eastAsia="MS Mincho" w:hAnsi="Times New Roman"/>
                          <w:sz w:val="20"/>
                          <w:szCs w:val="20"/>
                          <w:lang w:eastAsia="ja-JP"/>
                        </w:rPr>
                      </w:pPr>
                      <w:r w:rsidRPr="003413C9">
                        <w:rPr>
                          <w:rFonts w:ascii="Times New Roman" w:eastAsia="MS Mincho" w:hAnsi="Times New Roman"/>
                          <w:sz w:val="20"/>
                          <w:szCs w:val="20"/>
                          <w:lang w:eastAsia="ja-JP"/>
                        </w:rPr>
                        <w:t>FFS: if the end of the control resource set is signaled on the ‘group common PDCCH’, the UE may exploit this information to skip some blind decodings</w:t>
                      </w:r>
                    </w:p>
                    <w:p w14:paraId="2A75364D" w14:textId="77777777" w:rsidR="001E7BE3" w:rsidRPr="003413C9" w:rsidRDefault="001E7BE3" w:rsidP="001E7BE3">
                      <w:pPr>
                        <w:pStyle w:val="ListParagraph"/>
                        <w:numPr>
                          <w:ilvl w:val="0"/>
                          <w:numId w:val="8"/>
                        </w:numPr>
                        <w:contextualSpacing/>
                        <w:rPr>
                          <w:rFonts w:ascii="Times New Roman" w:eastAsia="MS Mincho" w:hAnsi="Times New Roman"/>
                          <w:sz w:val="20"/>
                          <w:szCs w:val="20"/>
                          <w:lang w:eastAsia="ja-JP"/>
                        </w:rPr>
                      </w:pPr>
                      <w:r w:rsidRPr="003413C9">
                        <w:rPr>
                          <w:rFonts w:ascii="Times New Roman" w:eastAsia="MS Mincho" w:hAnsi="Times New Roman"/>
                          <w:sz w:val="20"/>
                          <w:szCs w:val="20"/>
                          <w:lang w:eastAsia="ja-JP"/>
                        </w:rPr>
                        <w:t>FFS: how to handle the case when there is no ‘group common PDCCH’ in a slot</w:t>
                      </w:r>
                    </w:p>
                    <w:p w14:paraId="6DB0E8A2" w14:textId="77777777" w:rsidR="001E7BE3" w:rsidRPr="003413C9" w:rsidRDefault="001E7BE3" w:rsidP="001E7BE3">
                      <w:pPr>
                        <w:pStyle w:val="ListParagraph"/>
                        <w:numPr>
                          <w:ilvl w:val="0"/>
                          <w:numId w:val="8"/>
                        </w:numPr>
                        <w:contextualSpacing/>
                        <w:rPr>
                          <w:rFonts w:ascii="Times New Roman" w:eastAsia="MS Mincho" w:hAnsi="Times New Roman"/>
                          <w:sz w:val="20"/>
                          <w:szCs w:val="20"/>
                          <w:lang w:eastAsia="ja-JP"/>
                        </w:rPr>
                      </w:pPr>
                      <w:r w:rsidRPr="003413C9">
                        <w:rPr>
                          <w:rFonts w:ascii="Times New Roman" w:eastAsia="MS Mincho" w:hAnsi="Times New Roman"/>
                          <w:sz w:val="20"/>
                          <w:szCs w:val="20"/>
                          <w:lang w:eastAsia="ja-JP"/>
                        </w:rPr>
                        <w:t>When monitoring for a PDCCH, the UE should be able to process a detected PDCCH irrespective of whether the ‘group common PDCCH’ is received or not</w:t>
                      </w:r>
                    </w:p>
                    <w:p w14:paraId="36D985B0" w14:textId="77777777" w:rsidR="001E7BE3" w:rsidRPr="00476354" w:rsidRDefault="001E7BE3" w:rsidP="001E7BE3">
                      <w:pPr>
                        <w:pStyle w:val="BodyText"/>
                        <w:spacing w:after="0"/>
                        <w:rPr>
                          <w:b/>
                          <w:szCs w:val="20"/>
                          <w:u w:val="single"/>
                          <w:lang w:eastAsia="ja-JP"/>
                        </w:rPr>
                      </w:pPr>
                      <w:r w:rsidRPr="00BA7C2D">
                        <w:rPr>
                          <w:rFonts w:eastAsia="MS Mincho" w:hint="eastAsia"/>
                          <w:b/>
                          <w:szCs w:val="20"/>
                          <w:highlight w:val="green"/>
                          <w:u w:val="single"/>
                          <w:lang w:eastAsia="ja-JP"/>
                        </w:rPr>
                        <w:t>Agreements:</w:t>
                      </w:r>
                    </w:p>
                    <w:p w14:paraId="51EA8E13" w14:textId="77777777" w:rsidR="001E7BE3" w:rsidRPr="00476354" w:rsidRDefault="001E7BE3" w:rsidP="001E7BE3">
                      <w:pPr>
                        <w:pStyle w:val="BodyText"/>
                        <w:numPr>
                          <w:ilvl w:val="0"/>
                          <w:numId w:val="9"/>
                        </w:numPr>
                        <w:overflowPunct/>
                        <w:autoSpaceDE/>
                        <w:autoSpaceDN/>
                        <w:adjustRightInd/>
                        <w:spacing w:after="0"/>
                        <w:textAlignment w:val="auto"/>
                        <w:rPr>
                          <w:szCs w:val="20"/>
                          <w:lang w:eastAsia="ja-JP"/>
                        </w:rPr>
                      </w:pPr>
                      <w:r w:rsidRPr="00476354">
                        <w:rPr>
                          <w:szCs w:val="20"/>
                          <w:lang w:eastAsia="ja-JP"/>
                        </w:rPr>
                        <w:t>‘Slot format related information’</w:t>
                      </w:r>
                    </w:p>
                    <w:p w14:paraId="2E594047" w14:textId="77777777" w:rsidR="001E7BE3" w:rsidRPr="00476354" w:rsidRDefault="001E7BE3" w:rsidP="001E7BE3">
                      <w:pPr>
                        <w:pStyle w:val="BodyText"/>
                        <w:numPr>
                          <w:ilvl w:val="1"/>
                          <w:numId w:val="9"/>
                        </w:numPr>
                        <w:overflowPunct/>
                        <w:autoSpaceDE/>
                        <w:autoSpaceDN/>
                        <w:adjustRightInd/>
                        <w:spacing w:after="0"/>
                        <w:textAlignment w:val="auto"/>
                        <w:rPr>
                          <w:szCs w:val="20"/>
                          <w:lang w:eastAsia="ja-JP"/>
                        </w:rPr>
                      </w:pPr>
                      <w:r w:rsidRPr="00476354">
                        <w:rPr>
                          <w:szCs w:val="20"/>
                          <w:lang w:eastAsia="ja-JP"/>
                        </w:rPr>
                        <w:t>Information from which the UE can derive at least which symbols in a slot that are ‘DL’, ‘UL’ (for Rel-15), and ‘other’, respectively</w:t>
                      </w:r>
                    </w:p>
                    <w:p w14:paraId="3103A14F" w14:textId="77777777" w:rsidR="001E7BE3" w:rsidRPr="00476354" w:rsidRDefault="001E7BE3" w:rsidP="001E7BE3">
                      <w:pPr>
                        <w:pStyle w:val="BodyText"/>
                        <w:numPr>
                          <w:ilvl w:val="1"/>
                          <w:numId w:val="9"/>
                        </w:numPr>
                        <w:overflowPunct/>
                        <w:autoSpaceDE/>
                        <w:autoSpaceDN/>
                        <w:adjustRightInd/>
                        <w:spacing w:after="0"/>
                        <w:textAlignment w:val="auto"/>
                        <w:rPr>
                          <w:szCs w:val="20"/>
                          <w:lang w:eastAsia="ja-JP"/>
                        </w:rPr>
                      </w:pPr>
                      <w:r w:rsidRPr="00476354">
                        <w:rPr>
                          <w:szCs w:val="20"/>
                          <w:lang w:eastAsia="ja-JP"/>
                        </w:rPr>
                        <w:t>FFS: if ‘other’ can be subdivided into ‘blank’, ‘sidelink’, etc</w:t>
                      </w:r>
                    </w:p>
                    <w:p w14:paraId="73503268" w14:textId="77777777" w:rsidR="001E7BE3" w:rsidRPr="00476354" w:rsidRDefault="001E7BE3" w:rsidP="001E7BE3">
                      <w:pPr>
                        <w:pStyle w:val="BodyText"/>
                        <w:numPr>
                          <w:ilvl w:val="0"/>
                          <w:numId w:val="9"/>
                        </w:numPr>
                        <w:overflowPunct/>
                        <w:autoSpaceDE/>
                        <w:autoSpaceDN/>
                        <w:adjustRightInd/>
                        <w:spacing w:after="0"/>
                        <w:textAlignment w:val="auto"/>
                        <w:rPr>
                          <w:szCs w:val="20"/>
                          <w:lang w:eastAsia="ja-JP"/>
                        </w:rPr>
                      </w:pPr>
                      <w:r w:rsidRPr="00BA7C2D">
                        <w:rPr>
                          <w:rFonts w:eastAsia="MS Mincho" w:hint="eastAsia"/>
                          <w:szCs w:val="20"/>
                          <w:lang w:eastAsia="ja-JP"/>
                        </w:rPr>
                        <w:t xml:space="preserve">FFS: </w:t>
                      </w:r>
                      <w:r w:rsidRPr="00476354">
                        <w:rPr>
                          <w:szCs w:val="20"/>
                          <w:lang w:eastAsia="ja-JP"/>
                        </w:rPr>
                        <w:t>‘Control resource set duration’</w:t>
                      </w:r>
                    </w:p>
                    <w:p w14:paraId="66AAB065" w14:textId="77777777" w:rsidR="001E7BE3" w:rsidRPr="00476354" w:rsidRDefault="001E7BE3" w:rsidP="001E7BE3">
                      <w:pPr>
                        <w:pStyle w:val="BodyText"/>
                        <w:numPr>
                          <w:ilvl w:val="1"/>
                          <w:numId w:val="9"/>
                        </w:numPr>
                        <w:overflowPunct/>
                        <w:autoSpaceDE/>
                        <w:autoSpaceDN/>
                        <w:adjustRightInd/>
                        <w:spacing w:after="0"/>
                        <w:textAlignment w:val="auto"/>
                        <w:rPr>
                          <w:szCs w:val="20"/>
                          <w:lang w:eastAsia="ja-JP"/>
                        </w:rPr>
                      </w:pPr>
                      <w:r w:rsidRPr="00BA7C2D">
                        <w:rPr>
                          <w:rFonts w:eastAsia="MS Mincho" w:hint="eastAsia"/>
                          <w:szCs w:val="20"/>
                          <w:lang w:eastAsia="ja-JP"/>
                        </w:rPr>
                        <w:t xml:space="preserve">FFS: </w:t>
                      </w:r>
                      <w:r w:rsidRPr="00476354">
                        <w:rPr>
                          <w:szCs w:val="20"/>
                          <w:lang w:eastAsia="ja-JP"/>
                        </w:rPr>
                        <w:t xml:space="preserve">Indicates the duration of the control resource set(s) </w:t>
                      </w:r>
                    </w:p>
                    <w:p w14:paraId="494BF959" w14:textId="35E913B1" w:rsidR="001E7BE3" w:rsidRPr="001E7BE3" w:rsidRDefault="001E7BE3" w:rsidP="001E7BE3">
                      <w:pPr>
                        <w:pStyle w:val="BodyText"/>
                        <w:numPr>
                          <w:ilvl w:val="1"/>
                          <w:numId w:val="9"/>
                        </w:numPr>
                        <w:overflowPunct/>
                        <w:autoSpaceDE/>
                        <w:autoSpaceDN/>
                        <w:adjustRightInd/>
                        <w:spacing w:after="0"/>
                        <w:textAlignment w:val="auto"/>
                        <w:rPr>
                          <w:szCs w:val="20"/>
                          <w:lang w:eastAsia="ja-JP"/>
                        </w:rPr>
                      </w:pPr>
                      <w:r w:rsidRPr="00BA7C2D">
                        <w:rPr>
                          <w:rFonts w:eastAsia="MS Mincho" w:hint="eastAsia"/>
                          <w:szCs w:val="20"/>
                          <w:lang w:eastAsia="ja-JP"/>
                        </w:rPr>
                        <w:t xml:space="preserve">FFS: </w:t>
                      </w:r>
                      <w:r w:rsidRPr="00476354">
                        <w:rPr>
                          <w:szCs w:val="20"/>
                          <w:lang w:eastAsia="ja-JP"/>
                        </w:rPr>
                        <w:t>Can help the UE skip some of the semi-statically configured blind decodings. If not received, the UE performs all blind decodings.</w:t>
                      </w:r>
                    </w:p>
                  </w:txbxContent>
                </v:textbox>
                <w10:wrap type="square" anchorx="margin"/>
              </v:shape>
            </w:pict>
          </mc:Fallback>
        </mc:AlternateContent>
      </w:r>
      <w:r w:rsidR="00B2588A">
        <w:rPr>
          <w:szCs w:val="22"/>
        </w:rPr>
        <w:t>During RAN1 NR AdHoc meeting, the following agreements were made related to ‘group common PDCCH’.</w:t>
      </w:r>
      <w:r w:rsidR="000A3C82">
        <w:rPr>
          <w:szCs w:val="22"/>
        </w:rPr>
        <w:t xml:space="preserve"> </w:t>
      </w:r>
      <w:r w:rsidR="00C20A2D">
        <w:rPr>
          <w:szCs w:val="22"/>
        </w:rPr>
        <w:t>In RAN1#88, group common PDCCH</w:t>
      </w:r>
      <w:r w:rsidR="00F27776">
        <w:rPr>
          <w:szCs w:val="22"/>
        </w:rPr>
        <w:t xml:space="preserve"> (GC</w:t>
      </w:r>
      <w:bookmarkStart w:id="2" w:name="_GoBack"/>
      <w:bookmarkEnd w:id="2"/>
      <w:r w:rsidR="00F27776">
        <w:rPr>
          <w:szCs w:val="22"/>
        </w:rPr>
        <w:t xml:space="preserve"> PDCCH)</w:t>
      </w:r>
      <w:r w:rsidR="00C20A2D">
        <w:rPr>
          <w:szCs w:val="22"/>
        </w:rPr>
        <w:t xml:space="preserve"> was </w:t>
      </w:r>
      <w:r>
        <w:rPr>
          <w:szCs w:val="22"/>
        </w:rPr>
        <w:t>further</w:t>
      </w:r>
      <w:r w:rsidR="00C20A2D">
        <w:rPr>
          <w:szCs w:val="22"/>
        </w:rPr>
        <w:t xml:space="preserve"> discussed, but not much progress has been made. There seems to be still quite many different views on the use cases and potential contents of </w:t>
      </w:r>
      <w:r w:rsidR="00F27776">
        <w:rPr>
          <w:szCs w:val="22"/>
        </w:rPr>
        <w:t>GC</w:t>
      </w:r>
      <w:r w:rsidR="00C20A2D">
        <w:rPr>
          <w:szCs w:val="22"/>
        </w:rPr>
        <w:t xml:space="preserve"> PDCCH. </w:t>
      </w:r>
      <w:r w:rsidR="000A3C82">
        <w:rPr>
          <w:szCs w:val="22"/>
        </w:rPr>
        <w:t>In this contribution, we discuss</w:t>
      </w:r>
      <w:r>
        <w:rPr>
          <w:szCs w:val="22"/>
        </w:rPr>
        <w:t>es</w:t>
      </w:r>
      <w:r w:rsidR="000A3C82">
        <w:rPr>
          <w:szCs w:val="22"/>
        </w:rPr>
        <w:t xml:space="preserve"> </w:t>
      </w:r>
      <w:r>
        <w:rPr>
          <w:szCs w:val="22"/>
        </w:rPr>
        <w:t xml:space="preserve">the use cases and corresponding contents for </w:t>
      </w:r>
      <w:r w:rsidR="00F27776">
        <w:rPr>
          <w:szCs w:val="22"/>
        </w:rPr>
        <w:t>GC</w:t>
      </w:r>
      <w:r>
        <w:rPr>
          <w:szCs w:val="22"/>
        </w:rPr>
        <w:t xml:space="preserve"> PDCCH in addition to what was already agreed.</w:t>
      </w:r>
    </w:p>
    <w:p w14:paraId="0B3BE98D" w14:textId="14CFEE76" w:rsidR="0044173B" w:rsidRDefault="001D23A3" w:rsidP="0044173B">
      <w:pPr>
        <w:pStyle w:val="Heading1"/>
      </w:pPr>
      <w:r>
        <w:lastRenderedPageBreak/>
        <w:t xml:space="preserve">Use cases </w:t>
      </w:r>
      <w:r w:rsidR="005408AA">
        <w:t>with</w:t>
      </w:r>
      <w:r>
        <w:t xml:space="preserve"> group common PDCCH</w:t>
      </w:r>
    </w:p>
    <w:p w14:paraId="5CC4B95A" w14:textId="02078B9D" w:rsidR="00922815" w:rsidRDefault="00922815" w:rsidP="00922815">
      <w:pPr>
        <w:pStyle w:val="Heading2"/>
      </w:pPr>
      <w:r>
        <w:t>Slot format indicator</w:t>
      </w:r>
    </w:p>
    <w:p w14:paraId="50299FE5" w14:textId="14C30151" w:rsidR="00245115" w:rsidRDefault="00245115" w:rsidP="008A5AB1">
      <w:r>
        <w:t xml:space="preserve">In addition to the already agreed ‘DL’/‘UL’, ‘other’ field in slot format indicator needs to be further discussed and agreed. ‘DL’ and ‘UL’ provides the direction information mainly for TDD, assuming FDD has fixed directions for each </w:t>
      </w:r>
      <w:r w:rsidR="00B7325A">
        <w:t>spectrum. In this regard, ‘DL’ and ‘UL’ can be considered as ‘DL centric slot’ and ‘UL centric slot’ for the middle data region in TDD slot format as shown in Figure 1.</w:t>
      </w:r>
    </w:p>
    <w:p w14:paraId="12BD365C" w14:textId="778BC501" w:rsidR="00B7325A" w:rsidRDefault="006A29BF" w:rsidP="00B7325A">
      <w:pPr>
        <w:keepNext/>
        <w:jc w:val="center"/>
      </w:pPr>
      <w:r>
        <w:object w:dxaOrig="5124" w:dyaOrig="804" w14:anchorId="6C118798">
          <v:shape id="_x0000_i1025" type="#_x0000_t75" style="width:256.2pt;height:40.2pt" o:ole="">
            <v:imagedata r:id="rId12" o:title=""/>
          </v:shape>
          <o:OLEObject Type="Embed" ProgID="Visio.Drawing.11" ShapeID="_x0000_i1025" DrawAspect="Content" ObjectID="_1551895720" r:id="rId13"/>
        </w:object>
      </w:r>
    </w:p>
    <w:p w14:paraId="7B0A0DEE" w14:textId="5DEB49A6" w:rsidR="00245115" w:rsidRDefault="00B7325A" w:rsidP="00B7325A">
      <w:pPr>
        <w:pStyle w:val="Caption"/>
        <w:jc w:val="center"/>
      </w:pPr>
      <w:r>
        <w:t xml:space="preserve">Figure </w:t>
      </w:r>
      <w:fldSimple w:instr=" SEQ Figure \* ARABIC ">
        <w:r w:rsidR="006638FF">
          <w:rPr>
            <w:noProof/>
          </w:rPr>
          <w:t>1</w:t>
        </w:r>
      </w:fldSimple>
      <w:r>
        <w:t>: An example of TDD slot format</w:t>
      </w:r>
      <w:r w:rsidR="006A29BF">
        <w:t xml:space="preserve"> (DL or UL centric)</w:t>
      </w:r>
    </w:p>
    <w:p w14:paraId="764B5FD6" w14:textId="33BBA15D" w:rsidR="00B7325A" w:rsidRDefault="001E5B27" w:rsidP="008A5AB1">
      <w:r>
        <w:t>In addition to ‘DL centric slot’ and ‘UL centric slot’, there can be a slot format without UL control region having delayed ACK/NACK response.</w:t>
      </w:r>
    </w:p>
    <w:p w14:paraId="2446A6C7" w14:textId="291BAB54" w:rsidR="006A29BF" w:rsidRDefault="006A4F1A" w:rsidP="006A29BF">
      <w:pPr>
        <w:keepNext/>
        <w:jc w:val="center"/>
      </w:pPr>
      <w:r>
        <w:object w:dxaOrig="10164" w:dyaOrig="1666" w14:anchorId="43246D0C">
          <v:shape id="_x0000_i1026" type="#_x0000_t75" style="width:498.55pt;height:81.7pt" o:ole="">
            <v:imagedata r:id="rId14" o:title=""/>
          </v:shape>
          <o:OLEObject Type="Embed" ProgID="Visio.Drawing.11" ShapeID="_x0000_i1026" DrawAspect="Content" ObjectID="_1551895721" r:id="rId15"/>
        </w:object>
      </w:r>
    </w:p>
    <w:p w14:paraId="4253CAE8" w14:textId="26755C38" w:rsidR="006A29BF" w:rsidRDefault="006A29BF" w:rsidP="006A29BF">
      <w:pPr>
        <w:pStyle w:val="Caption"/>
        <w:jc w:val="center"/>
      </w:pPr>
      <w:r>
        <w:t xml:space="preserve">Figure </w:t>
      </w:r>
      <w:fldSimple w:instr=" SEQ Figure \* ARABIC ">
        <w:r w:rsidR="006638FF">
          <w:rPr>
            <w:noProof/>
          </w:rPr>
          <w:t>2</w:t>
        </w:r>
      </w:fldSimple>
      <w:r>
        <w:t>:An example of TDD slot format with DL only</w:t>
      </w:r>
    </w:p>
    <w:p w14:paraId="7F5F8DEE" w14:textId="65F50331" w:rsidR="006A29BF" w:rsidRDefault="006A29BF" w:rsidP="008A5AB1">
      <w:r>
        <w:t>If there is no DL/UL data scheduled in the data region, it can be ‘empty’ in the data region as shown in Figure 3.</w:t>
      </w:r>
      <w:r w:rsidR="005C537D">
        <w:t xml:space="preserve"> If ICIC capable UE is introduced in NR, this information can be utilized by advanced ICIC UEs.</w:t>
      </w:r>
    </w:p>
    <w:p w14:paraId="3378C3C5" w14:textId="77777777" w:rsidR="006A29BF" w:rsidRDefault="006A29BF" w:rsidP="006A29BF">
      <w:pPr>
        <w:keepNext/>
        <w:jc w:val="center"/>
      </w:pPr>
      <w:r>
        <w:object w:dxaOrig="5124" w:dyaOrig="804" w14:anchorId="570129B9">
          <v:shape id="_x0000_i1027" type="#_x0000_t75" style="width:256.05pt;height:40.05pt" o:ole="">
            <v:imagedata r:id="rId16" o:title=""/>
          </v:shape>
          <o:OLEObject Type="Embed" ProgID="Visio.Drawing.11" ShapeID="_x0000_i1027" DrawAspect="Content" ObjectID="_1551895722" r:id="rId17"/>
        </w:object>
      </w:r>
    </w:p>
    <w:p w14:paraId="09EE71D0" w14:textId="07369073" w:rsidR="006A29BF" w:rsidRDefault="006A29BF" w:rsidP="006A29BF">
      <w:pPr>
        <w:pStyle w:val="Caption"/>
        <w:jc w:val="center"/>
      </w:pPr>
      <w:r>
        <w:t xml:space="preserve">Figure </w:t>
      </w:r>
      <w:fldSimple w:instr=" SEQ Figure \* ARABIC ">
        <w:r w:rsidR="006638FF">
          <w:rPr>
            <w:noProof/>
          </w:rPr>
          <w:t>3</w:t>
        </w:r>
      </w:fldSimple>
      <w:r>
        <w:t xml:space="preserve">: An example of </w:t>
      </w:r>
      <w:r w:rsidR="005C537D">
        <w:t>TDD slot format with empty data region</w:t>
      </w:r>
    </w:p>
    <w:p w14:paraId="51F32E68" w14:textId="786088F6" w:rsidR="00021FE3" w:rsidRDefault="00A32A44" w:rsidP="00021FE3">
      <w:r>
        <w:t xml:space="preserve">It is important to have </w:t>
      </w:r>
      <w:r w:rsidR="00F27776">
        <w:t>GC</w:t>
      </w:r>
      <w:r>
        <w:t xml:space="preserve"> PDCCH design against future compatibility including NR operation </w:t>
      </w:r>
      <w:r w:rsidR="006A4F1A">
        <w:t>(e.g.,</w:t>
      </w:r>
      <w:r>
        <w:t xml:space="preserve"> unlicensed spectrum</w:t>
      </w:r>
      <w:r w:rsidR="006A4F1A">
        <w:t>)</w:t>
      </w:r>
      <w:r>
        <w:t xml:space="preserve">. In order to be future-proof, </w:t>
      </w:r>
      <w:r w:rsidR="009573C8">
        <w:t>we should have the way to reserve the slot for other applications</w:t>
      </w:r>
      <w:r w:rsidR="006F7A6B">
        <w:t xml:space="preserve"> to share the spectrum</w:t>
      </w:r>
      <w:r w:rsidR="009573C8">
        <w:t xml:space="preserve">, i.e., to have forced blanking of the slot (independent of DL or UL). Blanking resolution can be data region only or including DL control region (except this </w:t>
      </w:r>
      <w:r w:rsidR="00F27776">
        <w:t>GC</w:t>
      </w:r>
      <w:r w:rsidR="009573C8">
        <w:t xml:space="preserve"> PDCCH) and UL control region.</w:t>
      </w:r>
      <w:r w:rsidR="006F7A6B">
        <w:t xml:space="preserve"> Blanking means pre-configured periodic DL/UL signaling should be DTXed. Periodic signaling can include CSI-RS, SS block, SPS, SRS, CSI and etc.</w:t>
      </w:r>
    </w:p>
    <w:p w14:paraId="7DA4252F" w14:textId="594B6E2A" w:rsidR="009573C8" w:rsidRDefault="00387868" w:rsidP="009573C8">
      <w:pPr>
        <w:keepNext/>
        <w:jc w:val="center"/>
      </w:pPr>
      <w:r>
        <w:object w:dxaOrig="5124" w:dyaOrig="3290" w14:anchorId="07EAE477">
          <v:shape id="_x0000_i1028" type="#_x0000_t75" style="width:256.05pt;height:164.65pt" o:ole="">
            <v:imagedata r:id="rId18" o:title=""/>
          </v:shape>
          <o:OLEObject Type="Embed" ProgID="Visio.Drawing.11" ShapeID="_x0000_i1028" DrawAspect="Content" ObjectID="_1551895723" r:id="rId19"/>
        </w:object>
      </w:r>
    </w:p>
    <w:p w14:paraId="237B1539" w14:textId="5CF769A4" w:rsidR="009573C8" w:rsidRDefault="009573C8" w:rsidP="009573C8">
      <w:pPr>
        <w:pStyle w:val="Caption"/>
        <w:jc w:val="center"/>
      </w:pPr>
      <w:r>
        <w:t xml:space="preserve">Figure </w:t>
      </w:r>
      <w:fldSimple w:instr=" SEQ Figure \* ARABIC ">
        <w:r w:rsidR="006638FF">
          <w:rPr>
            <w:noProof/>
          </w:rPr>
          <w:t>4</w:t>
        </w:r>
      </w:fldSimple>
      <w:r>
        <w:t xml:space="preserve">: An example of </w:t>
      </w:r>
      <w:r w:rsidR="006F7A6B">
        <w:t>reserved slot format (TDD)</w:t>
      </w:r>
    </w:p>
    <w:p w14:paraId="1B8062EA" w14:textId="3D4E99C6" w:rsidR="006F7A6B" w:rsidRDefault="006F7A6B" w:rsidP="006F7A6B">
      <w:r>
        <w:t>So far all the examples were shown assuming TDD. However, ‘empty’ and ‘</w:t>
      </w:r>
      <w:r w:rsidR="00387868">
        <w:t>reserved’ can be applicable for FDD. In summary, the following slot format indicator is proposed.</w:t>
      </w:r>
    </w:p>
    <w:p w14:paraId="25503B3F" w14:textId="49613911" w:rsidR="00F27776" w:rsidRDefault="00F27776" w:rsidP="006F7A6B">
      <w:r w:rsidRPr="00F27776">
        <w:rPr>
          <w:b/>
          <w:u w:val="single"/>
        </w:rPr>
        <w:t>Proposal 1:</w:t>
      </w:r>
      <w:r>
        <w:t xml:space="preserve"> The following slot format indicator is proposed.</w:t>
      </w:r>
    </w:p>
    <w:p w14:paraId="4AABD671" w14:textId="13F06D17" w:rsidR="00387868" w:rsidRDefault="00387868" w:rsidP="00387868">
      <w:pPr>
        <w:pStyle w:val="ListParagraph"/>
        <w:numPr>
          <w:ilvl w:val="0"/>
          <w:numId w:val="11"/>
        </w:numPr>
      </w:pPr>
      <w:r>
        <w:t>Slot Format Indicator</w:t>
      </w:r>
      <w:r w:rsidR="00E35CDC">
        <w:t xml:space="preserve"> (SFI)</w:t>
      </w:r>
    </w:p>
    <w:p w14:paraId="04D5C22E" w14:textId="51F5FD36" w:rsidR="00387868" w:rsidRDefault="00387868" w:rsidP="00387868">
      <w:pPr>
        <w:pStyle w:val="ListParagraph"/>
        <w:numPr>
          <w:ilvl w:val="1"/>
          <w:numId w:val="11"/>
        </w:numPr>
      </w:pPr>
      <w:r>
        <w:t>DL centric slot (TDD)</w:t>
      </w:r>
    </w:p>
    <w:p w14:paraId="60D9075C" w14:textId="49242CE1" w:rsidR="00387868" w:rsidRDefault="00387868" w:rsidP="00387868">
      <w:pPr>
        <w:pStyle w:val="ListParagraph"/>
        <w:numPr>
          <w:ilvl w:val="1"/>
          <w:numId w:val="11"/>
        </w:numPr>
      </w:pPr>
      <w:r>
        <w:t>UL centric slot (TDD)</w:t>
      </w:r>
    </w:p>
    <w:p w14:paraId="64FFEC96" w14:textId="55AED688" w:rsidR="00387868" w:rsidRDefault="00F27776" w:rsidP="00387868">
      <w:pPr>
        <w:pStyle w:val="ListParagraph"/>
        <w:numPr>
          <w:ilvl w:val="1"/>
          <w:numId w:val="11"/>
        </w:numPr>
      </w:pPr>
      <w:r>
        <w:t>DL only slot (TDD)</w:t>
      </w:r>
    </w:p>
    <w:p w14:paraId="46F59055" w14:textId="147E398F" w:rsidR="00F27776" w:rsidRDefault="00F27776" w:rsidP="00387868">
      <w:pPr>
        <w:pStyle w:val="ListParagraph"/>
        <w:numPr>
          <w:ilvl w:val="1"/>
          <w:numId w:val="11"/>
        </w:numPr>
      </w:pPr>
      <w:r>
        <w:t>Empty (TDD, FDD)</w:t>
      </w:r>
    </w:p>
    <w:p w14:paraId="4E3CFB37" w14:textId="534B39D0" w:rsidR="00F27776" w:rsidRDefault="00F27776" w:rsidP="00387868">
      <w:pPr>
        <w:pStyle w:val="ListParagraph"/>
        <w:numPr>
          <w:ilvl w:val="1"/>
          <w:numId w:val="11"/>
        </w:numPr>
      </w:pPr>
      <w:r>
        <w:t>Reserved (TDD, FDD)</w:t>
      </w:r>
    </w:p>
    <w:p w14:paraId="5941FB1C" w14:textId="784D7AFA" w:rsidR="00F27776" w:rsidRDefault="00F27776" w:rsidP="00F27776">
      <w:pPr>
        <w:pStyle w:val="ListParagraph"/>
        <w:numPr>
          <w:ilvl w:val="2"/>
          <w:numId w:val="11"/>
        </w:numPr>
      </w:pPr>
      <w:r>
        <w:t>Data region only</w:t>
      </w:r>
    </w:p>
    <w:p w14:paraId="07F5B5D6" w14:textId="4F73B76A" w:rsidR="00F27776" w:rsidRPr="006F7A6B" w:rsidRDefault="00F27776" w:rsidP="00F27776">
      <w:pPr>
        <w:pStyle w:val="ListParagraph"/>
        <w:numPr>
          <w:ilvl w:val="2"/>
          <w:numId w:val="11"/>
        </w:numPr>
      </w:pPr>
      <w:r>
        <w:t>Data and control regions</w:t>
      </w:r>
    </w:p>
    <w:p w14:paraId="2CFC0FD0" w14:textId="25620C8C" w:rsidR="006F7A6B" w:rsidRDefault="00F27776" w:rsidP="00F27776">
      <w:pPr>
        <w:pStyle w:val="Heading2"/>
      </w:pPr>
      <w:r>
        <w:t>Slot aggregation</w:t>
      </w:r>
    </w:p>
    <w:p w14:paraId="31D722E2" w14:textId="3DB4C8E8" w:rsidR="00F27776" w:rsidRDefault="00F27776" w:rsidP="00F27776">
      <w:pPr>
        <w:rPr>
          <w:lang w:val="en-GB"/>
        </w:rPr>
      </w:pPr>
      <w:r>
        <w:rPr>
          <w:lang w:val="en-GB"/>
        </w:rPr>
        <w:t>There can be different slot aggregations depending on the existence of control regions in the middle of aggregated slots. If the slots are aggregated but DL and UL control regions are still present every slot, GC PDCCH can be transmitted every slot to deliver slot format indicator</w:t>
      </w:r>
      <w:r w:rsidR="00E35CDC">
        <w:rPr>
          <w:lang w:val="en-GB"/>
        </w:rPr>
        <w:t xml:space="preserve"> for that slot.</w:t>
      </w:r>
    </w:p>
    <w:p w14:paraId="64389695" w14:textId="0766A1A7" w:rsidR="00E35CDC" w:rsidRPr="00E35CDC" w:rsidRDefault="00E35CDC" w:rsidP="00E35CDC">
      <w:pPr>
        <w:rPr>
          <w:lang w:val="en-GB"/>
        </w:rPr>
      </w:pPr>
      <w:r>
        <w:rPr>
          <w:lang w:val="en-GB"/>
        </w:rPr>
        <w:t>In case slots are aggregated with DL control region in the beginning of the aggregated slots and UL control region in the end of the aggregated slots, GC PDCCH</w:t>
      </w:r>
      <w:r w:rsidRPr="00E35CDC">
        <w:t xml:space="preserve"> </w:t>
      </w:r>
      <w:r w:rsidRPr="00E35CDC">
        <w:rPr>
          <w:lang w:val="en-GB"/>
        </w:rPr>
        <w:t>with SFI is transmitted only in the beginning of the aggregated slots</w:t>
      </w:r>
      <w:r>
        <w:rPr>
          <w:lang w:val="en-GB"/>
        </w:rPr>
        <w:t xml:space="preserve">. In this case, </w:t>
      </w:r>
      <w:r w:rsidRPr="00E35CDC">
        <w:rPr>
          <w:lang w:val="en-GB"/>
        </w:rPr>
        <w:t>DL with aggregation level (# of slots)</w:t>
      </w:r>
      <w:r>
        <w:rPr>
          <w:lang w:val="en-GB"/>
        </w:rPr>
        <w:t xml:space="preserve"> and </w:t>
      </w:r>
      <w:r w:rsidRPr="00E35CDC">
        <w:rPr>
          <w:lang w:val="en-GB"/>
        </w:rPr>
        <w:t>UL with aggregation level (# of slots)</w:t>
      </w:r>
      <w:r>
        <w:rPr>
          <w:lang w:val="en-GB"/>
        </w:rPr>
        <w:t xml:space="preserve"> can be the part of GC PDCCH information.</w:t>
      </w:r>
      <w:r w:rsidR="006638FF">
        <w:rPr>
          <w:lang w:val="en-GB"/>
        </w:rPr>
        <w:t xml:space="preserve"> </w:t>
      </w:r>
      <w:r w:rsidRPr="00E35CDC">
        <w:rPr>
          <w:lang w:val="en-GB"/>
        </w:rPr>
        <w:t>This will provide the aggregated slot format information especially for non-scheduled UEs</w:t>
      </w:r>
      <w:r w:rsidR="006638FF">
        <w:rPr>
          <w:lang w:val="en-GB"/>
        </w:rPr>
        <w:t xml:space="preserve">. </w:t>
      </w:r>
      <w:r w:rsidRPr="00E35CDC">
        <w:rPr>
          <w:lang w:val="en-GB"/>
        </w:rPr>
        <w:t>UE can skip PDCCH decoding during aggregated slots for either DL or UL aggregated slots</w:t>
      </w:r>
      <w:r w:rsidR="006638FF">
        <w:rPr>
          <w:lang w:val="en-GB"/>
        </w:rPr>
        <w:t>.</w:t>
      </w:r>
    </w:p>
    <w:p w14:paraId="134AF465" w14:textId="77777777" w:rsidR="006638FF" w:rsidRDefault="006638FF" w:rsidP="006638FF">
      <w:pPr>
        <w:keepNext/>
      </w:pPr>
      <w:r>
        <w:object w:dxaOrig="10884" w:dyaOrig="2715" w14:anchorId="0EF43AED">
          <v:shape id="_x0000_i1029" type="#_x0000_t75" style="width:498.35pt;height:124.6pt" o:ole="">
            <v:imagedata r:id="rId20" o:title=""/>
          </v:shape>
          <o:OLEObject Type="Embed" ProgID="Visio.Drawing.11" ShapeID="_x0000_i1029" DrawAspect="Content" ObjectID="_1551895724" r:id="rId21"/>
        </w:object>
      </w:r>
    </w:p>
    <w:p w14:paraId="1C9E111A" w14:textId="30C818A8" w:rsidR="006638FF" w:rsidRDefault="006638FF" w:rsidP="006638FF">
      <w:pPr>
        <w:pStyle w:val="Caption"/>
        <w:jc w:val="center"/>
        <w:rPr>
          <w:lang w:val="en-GB"/>
        </w:rPr>
      </w:pPr>
      <w:r>
        <w:t xml:space="preserve">Figure </w:t>
      </w:r>
      <w:fldSimple w:instr=" SEQ Figure \* ARABIC ">
        <w:r>
          <w:rPr>
            <w:noProof/>
          </w:rPr>
          <w:t>5</w:t>
        </w:r>
      </w:fldSimple>
      <w:r>
        <w:t>: Aggregated slots with GC PDCCH</w:t>
      </w:r>
    </w:p>
    <w:p w14:paraId="7FD7FEE0" w14:textId="6798872D" w:rsidR="006638FF" w:rsidRDefault="006638FF" w:rsidP="006638FF">
      <w:r w:rsidRPr="00F27776">
        <w:rPr>
          <w:b/>
          <w:u w:val="single"/>
        </w:rPr>
        <w:t xml:space="preserve">Proposal </w:t>
      </w:r>
      <w:r>
        <w:rPr>
          <w:b/>
          <w:u w:val="single"/>
        </w:rPr>
        <w:t>2</w:t>
      </w:r>
      <w:r w:rsidRPr="00F27776">
        <w:rPr>
          <w:b/>
          <w:u w:val="single"/>
        </w:rPr>
        <w:t>:</w:t>
      </w:r>
      <w:r>
        <w:t xml:space="preserve"> Aggregated slot level (# of slots) is proposed as the part of GC PDCCH contents.</w:t>
      </w:r>
    </w:p>
    <w:p w14:paraId="64FED35D" w14:textId="2D238392" w:rsidR="001D23A3" w:rsidRDefault="005242C4" w:rsidP="001D23A3">
      <w:pPr>
        <w:pStyle w:val="Heading1"/>
      </w:pPr>
      <w:r>
        <w:lastRenderedPageBreak/>
        <w:t>SFI conflicts</w:t>
      </w:r>
    </w:p>
    <w:p w14:paraId="4287B7C9" w14:textId="2A81DE43" w:rsidR="00C66E67" w:rsidRPr="00C66E67" w:rsidRDefault="00C66E67" w:rsidP="00C66E67">
      <w:pPr>
        <w:spacing w:after="120"/>
        <w:rPr>
          <w:lang w:eastAsia="zh-CN"/>
        </w:rPr>
      </w:pPr>
      <w:r w:rsidRPr="00C66E67">
        <w:rPr>
          <w:lang w:eastAsia="zh-CN"/>
        </w:rPr>
        <w:t xml:space="preserve">Ideally SFI </w:t>
      </w:r>
      <w:r>
        <w:rPr>
          <w:lang w:eastAsia="zh-CN"/>
        </w:rPr>
        <w:t xml:space="preserve">in GC PDCCH </w:t>
      </w:r>
      <w:r w:rsidRPr="00C66E67">
        <w:rPr>
          <w:lang w:eastAsia="zh-CN"/>
        </w:rPr>
        <w:t xml:space="preserve">should not conflict with DCI and pre-configured </w:t>
      </w:r>
      <w:r>
        <w:rPr>
          <w:lang w:eastAsia="zh-CN"/>
        </w:rPr>
        <w:t xml:space="preserve">periodic </w:t>
      </w:r>
      <w:r w:rsidRPr="00C66E67">
        <w:rPr>
          <w:lang w:eastAsia="zh-CN"/>
        </w:rPr>
        <w:t>DL/UL transmission</w:t>
      </w:r>
      <w:r>
        <w:rPr>
          <w:lang w:eastAsia="zh-CN"/>
        </w:rPr>
        <w:t>. On the other hand, there can be false detection with GC PDCCH. Therefore, conflict handling needs to be discussed.</w:t>
      </w:r>
      <w:r w:rsidR="007F21AA">
        <w:rPr>
          <w:lang w:eastAsia="zh-CN"/>
        </w:rPr>
        <w:t xml:space="preserve"> Different cases of conflict and suggested rules are shown below.</w:t>
      </w:r>
    </w:p>
    <w:p w14:paraId="6BA28457" w14:textId="77777777" w:rsidR="00C66E67" w:rsidRPr="00C66E67" w:rsidRDefault="00C66E67" w:rsidP="00C66E67">
      <w:pPr>
        <w:pStyle w:val="ListParagraph"/>
        <w:numPr>
          <w:ilvl w:val="0"/>
          <w:numId w:val="11"/>
        </w:numPr>
        <w:spacing w:after="120"/>
        <w:rPr>
          <w:lang w:eastAsia="zh-CN"/>
        </w:rPr>
      </w:pPr>
      <w:r w:rsidRPr="00C66E67">
        <w:rPr>
          <w:lang w:eastAsia="zh-CN"/>
        </w:rPr>
        <w:t>SFI conflict with DCI</w:t>
      </w:r>
    </w:p>
    <w:p w14:paraId="54BBF424" w14:textId="5E8460F6" w:rsidR="00C66E67" w:rsidRPr="00C66E67" w:rsidRDefault="00C66E67" w:rsidP="00C66E67">
      <w:pPr>
        <w:pStyle w:val="ListParagraph"/>
        <w:numPr>
          <w:ilvl w:val="1"/>
          <w:numId w:val="11"/>
        </w:numPr>
        <w:spacing w:after="120"/>
        <w:rPr>
          <w:lang w:eastAsia="zh-CN"/>
        </w:rPr>
      </w:pPr>
      <w:r w:rsidRPr="00C66E67">
        <w:rPr>
          <w:lang w:eastAsia="zh-CN"/>
        </w:rPr>
        <w:t xml:space="preserve">DCI </w:t>
      </w:r>
      <w:r>
        <w:rPr>
          <w:lang w:eastAsia="zh-CN"/>
        </w:rPr>
        <w:t xml:space="preserve">should </w:t>
      </w:r>
      <w:r w:rsidRPr="00C66E67">
        <w:rPr>
          <w:lang w:eastAsia="zh-CN"/>
        </w:rPr>
        <w:t>take the priority</w:t>
      </w:r>
      <w:r>
        <w:rPr>
          <w:lang w:eastAsia="zh-CN"/>
        </w:rPr>
        <w:t xml:space="preserve"> in case SFI conflicts with DCI considering the error protection in DCI</w:t>
      </w:r>
    </w:p>
    <w:p w14:paraId="4991F0B4" w14:textId="3B8694C2" w:rsidR="00C66E67" w:rsidRPr="00C66E67" w:rsidRDefault="00C66E67" w:rsidP="00C66E67">
      <w:pPr>
        <w:pStyle w:val="ListParagraph"/>
        <w:numPr>
          <w:ilvl w:val="2"/>
          <w:numId w:val="11"/>
        </w:numPr>
        <w:spacing w:after="120"/>
        <w:rPr>
          <w:lang w:eastAsia="zh-CN"/>
        </w:rPr>
      </w:pPr>
      <w:r>
        <w:rPr>
          <w:lang w:eastAsia="zh-CN"/>
        </w:rPr>
        <w:t>This a</w:t>
      </w:r>
      <w:r w:rsidRPr="00C66E67">
        <w:rPr>
          <w:lang w:eastAsia="zh-CN"/>
        </w:rPr>
        <w:t>ssum</w:t>
      </w:r>
      <w:r>
        <w:rPr>
          <w:lang w:eastAsia="zh-CN"/>
        </w:rPr>
        <w:t>es</w:t>
      </w:r>
      <w:r w:rsidRPr="00C66E67">
        <w:rPr>
          <w:lang w:eastAsia="zh-CN"/>
        </w:rPr>
        <w:t xml:space="preserve"> NW does not send conflicting SFI with DCI</w:t>
      </w:r>
    </w:p>
    <w:p w14:paraId="7ECC0B3E" w14:textId="77777777" w:rsidR="00C66E67" w:rsidRPr="00C66E67" w:rsidRDefault="00C66E67" w:rsidP="00C66E67">
      <w:pPr>
        <w:pStyle w:val="ListParagraph"/>
        <w:numPr>
          <w:ilvl w:val="0"/>
          <w:numId w:val="11"/>
        </w:numPr>
        <w:spacing w:after="120"/>
        <w:rPr>
          <w:lang w:eastAsia="zh-CN"/>
        </w:rPr>
      </w:pPr>
      <w:r w:rsidRPr="00C66E67">
        <w:rPr>
          <w:lang w:eastAsia="zh-CN"/>
        </w:rPr>
        <w:t>SFI conflict with periodic signaling</w:t>
      </w:r>
    </w:p>
    <w:p w14:paraId="74D85244" w14:textId="77777777" w:rsidR="00C66E67" w:rsidRPr="00C66E67" w:rsidRDefault="00C66E67" w:rsidP="00C66E67">
      <w:pPr>
        <w:pStyle w:val="ListParagraph"/>
        <w:numPr>
          <w:ilvl w:val="1"/>
          <w:numId w:val="11"/>
        </w:numPr>
        <w:spacing w:after="120"/>
        <w:rPr>
          <w:lang w:eastAsia="zh-CN"/>
        </w:rPr>
      </w:pPr>
      <w:r w:rsidRPr="00C66E67">
        <w:rPr>
          <w:lang w:eastAsia="zh-CN"/>
        </w:rPr>
        <w:t>Periodic signaling</w:t>
      </w:r>
    </w:p>
    <w:p w14:paraId="29D8E793" w14:textId="77777777" w:rsidR="00C66E67" w:rsidRPr="00C66E67" w:rsidRDefault="00C66E67" w:rsidP="00C66E67">
      <w:pPr>
        <w:pStyle w:val="ListParagraph"/>
        <w:numPr>
          <w:ilvl w:val="2"/>
          <w:numId w:val="11"/>
        </w:numPr>
        <w:spacing w:after="120"/>
        <w:rPr>
          <w:lang w:eastAsia="zh-CN"/>
        </w:rPr>
      </w:pPr>
      <w:r w:rsidRPr="00C66E67">
        <w:rPr>
          <w:lang w:eastAsia="zh-CN"/>
        </w:rPr>
        <w:t>DL: CSI-RS, SS block, SPS</w:t>
      </w:r>
    </w:p>
    <w:p w14:paraId="0138C966" w14:textId="14D228C5" w:rsidR="00C66E67" w:rsidRPr="00C66E67" w:rsidRDefault="00C66E67" w:rsidP="00C66E67">
      <w:pPr>
        <w:pStyle w:val="ListParagraph"/>
        <w:numPr>
          <w:ilvl w:val="2"/>
          <w:numId w:val="11"/>
        </w:numPr>
        <w:spacing w:after="120"/>
        <w:rPr>
          <w:lang w:eastAsia="zh-CN"/>
        </w:rPr>
      </w:pPr>
      <w:r w:rsidRPr="00C66E67">
        <w:rPr>
          <w:lang w:eastAsia="zh-CN"/>
        </w:rPr>
        <w:t>UL: SRS, CSI</w:t>
      </w:r>
      <w:r>
        <w:rPr>
          <w:lang w:eastAsia="zh-CN"/>
        </w:rPr>
        <w:t>, SPS</w:t>
      </w:r>
    </w:p>
    <w:p w14:paraId="7A92FD1B" w14:textId="77777777" w:rsidR="00C66E67" w:rsidRPr="00C66E67" w:rsidRDefault="00C66E67" w:rsidP="00C66E67">
      <w:pPr>
        <w:pStyle w:val="ListParagraph"/>
        <w:numPr>
          <w:ilvl w:val="1"/>
          <w:numId w:val="11"/>
        </w:numPr>
        <w:spacing w:after="120"/>
        <w:rPr>
          <w:lang w:eastAsia="zh-CN"/>
        </w:rPr>
      </w:pPr>
      <w:r w:rsidRPr="00C66E67">
        <w:rPr>
          <w:lang w:eastAsia="zh-CN"/>
        </w:rPr>
        <w:t>Directional conflict (DL or UL)</w:t>
      </w:r>
    </w:p>
    <w:p w14:paraId="7404F7B5" w14:textId="77777777" w:rsidR="00C66E67" w:rsidRPr="00C66E67" w:rsidRDefault="00C66E67" w:rsidP="00C66E67">
      <w:pPr>
        <w:pStyle w:val="ListParagraph"/>
        <w:numPr>
          <w:ilvl w:val="2"/>
          <w:numId w:val="11"/>
        </w:numPr>
        <w:spacing w:after="120"/>
        <w:rPr>
          <w:lang w:eastAsia="zh-CN"/>
        </w:rPr>
      </w:pPr>
      <w:r w:rsidRPr="00C66E67">
        <w:rPr>
          <w:lang w:eastAsia="zh-CN"/>
        </w:rPr>
        <w:t>First takes the direction from DCI if available</w:t>
      </w:r>
    </w:p>
    <w:p w14:paraId="7D9FCCB7" w14:textId="30D73464" w:rsidR="00C66E67" w:rsidRDefault="00C66E67" w:rsidP="00C66E67">
      <w:pPr>
        <w:pStyle w:val="ListParagraph"/>
        <w:numPr>
          <w:ilvl w:val="2"/>
          <w:numId w:val="11"/>
        </w:numPr>
        <w:spacing w:after="120"/>
        <w:rPr>
          <w:lang w:eastAsia="zh-CN"/>
        </w:rPr>
      </w:pPr>
      <w:r w:rsidRPr="00C66E67">
        <w:rPr>
          <w:lang w:eastAsia="zh-CN"/>
        </w:rPr>
        <w:t xml:space="preserve">If </w:t>
      </w:r>
      <w:r>
        <w:rPr>
          <w:lang w:eastAsia="zh-CN"/>
        </w:rPr>
        <w:t>there is no direction information from DCI</w:t>
      </w:r>
      <w:r w:rsidRPr="00C66E67">
        <w:rPr>
          <w:lang w:eastAsia="zh-CN"/>
        </w:rPr>
        <w:t>, SFI takes the priority</w:t>
      </w:r>
    </w:p>
    <w:p w14:paraId="4B01BFDD" w14:textId="1D2A4B77" w:rsidR="00C66E67" w:rsidRPr="00C66E67" w:rsidRDefault="00C66E67" w:rsidP="00C66E67">
      <w:pPr>
        <w:pStyle w:val="ListParagraph"/>
        <w:numPr>
          <w:ilvl w:val="3"/>
          <w:numId w:val="11"/>
        </w:numPr>
        <w:spacing w:after="120"/>
        <w:rPr>
          <w:lang w:eastAsia="zh-CN"/>
        </w:rPr>
      </w:pPr>
      <w:r>
        <w:rPr>
          <w:lang w:eastAsia="zh-CN"/>
        </w:rPr>
        <w:t>False detection probability and its impact needs to be studied</w:t>
      </w:r>
    </w:p>
    <w:p w14:paraId="7A9DE753" w14:textId="2DD5E3F1" w:rsidR="00C66E67" w:rsidRDefault="00C66E67" w:rsidP="00C66E67">
      <w:pPr>
        <w:pStyle w:val="ListParagraph"/>
        <w:numPr>
          <w:ilvl w:val="1"/>
          <w:numId w:val="11"/>
        </w:numPr>
        <w:spacing w:after="120"/>
        <w:rPr>
          <w:lang w:eastAsia="zh-CN"/>
        </w:rPr>
      </w:pPr>
      <w:r>
        <w:rPr>
          <w:lang w:eastAsia="zh-CN"/>
        </w:rPr>
        <w:t>Conflict with ‘empty’ SFI</w:t>
      </w:r>
    </w:p>
    <w:p w14:paraId="0107BBAC" w14:textId="77777777" w:rsidR="00C66E67" w:rsidRPr="00C66E67" w:rsidRDefault="00C66E67" w:rsidP="00C66E67">
      <w:pPr>
        <w:pStyle w:val="ListParagraph"/>
        <w:numPr>
          <w:ilvl w:val="2"/>
          <w:numId w:val="11"/>
        </w:numPr>
        <w:spacing w:after="120"/>
        <w:rPr>
          <w:lang w:eastAsia="zh-CN"/>
        </w:rPr>
      </w:pPr>
      <w:r w:rsidRPr="00C66E67">
        <w:rPr>
          <w:lang w:eastAsia="zh-CN"/>
        </w:rPr>
        <w:t>First takes the direction from DCI if available</w:t>
      </w:r>
    </w:p>
    <w:p w14:paraId="2CD977CE" w14:textId="1724CE70" w:rsidR="00C66E67" w:rsidRDefault="00C66E67" w:rsidP="00C66E67">
      <w:pPr>
        <w:pStyle w:val="ListParagraph"/>
        <w:numPr>
          <w:ilvl w:val="2"/>
          <w:numId w:val="11"/>
        </w:numPr>
        <w:spacing w:after="120"/>
        <w:rPr>
          <w:lang w:eastAsia="zh-CN"/>
        </w:rPr>
      </w:pPr>
      <w:r>
        <w:rPr>
          <w:lang w:eastAsia="zh-CN"/>
        </w:rPr>
        <w:t>If there is no direction information from DCI, periodic signaling takes the priority</w:t>
      </w:r>
    </w:p>
    <w:p w14:paraId="4A89A0F5" w14:textId="301DBD8D" w:rsidR="00C66E67" w:rsidRPr="00C66E67" w:rsidRDefault="00C66E67" w:rsidP="00C66E67">
      <w:pPr>
        <w:pStyle w:val="ListParagraph"/>
        <w:numPr>
          <w:ilvl w:val="1"/>
          <w:numId w:val="11"/>
        </w:numPr>
        <w:spacing w:after="120"/>
        <w:rPr>
          <w:lang w:eastAsia="zh-CN"/>
        </w:rPr>
      </w:pPr>
      <w:r>
        <w:rPr>
          <w:lang w:eastAsia="zh-CN"/>
        </w:rPr>
        <w:t>Conflict with ‘reserved’ SFI</w:t>
      </w:r>
    </w:p>
    <w:p w14:paraId="1CF0ADB3" w14:textId="77777777" w:rsidR="00C66E67" w:rsidRPr="00C66E67" w:rsidRDefault="00C66E67" w:rsidP="00C66E67">
      <w:pPr>
        <w:pStyle w:val="ListParagraph"/>
        <w:numPr>
          <w:ilvl w:val="2"/>
          <w:numId w:val="11"/>
        </w:numPr>
        <w:spacing w:after="120"/>
        <w:rPr>
          <w:lang w:eastAsia="zh-CN"/>
        </w:rPr>
      </w:pPr>
      <w:r w:rsidRPr="00C66E67">
        <w:rPr>
          <w:lang w:eastAsia="zh-CN"/>
        </w:rPr>
        <w:t>First takes the direction from DCI if available</w:t>
      </w:r>
    </w:p>
    <w:p w14:paraId="5885AC49" w14:textId="50156624" w:rsidR="002501CB" w:rsidRPr="007F21AA" w:rsidRDefault="00C66E67" w:rsidP="00C66E67">
      <w:pPr>
        <w:pStyle w:val="ListParagraph"/>
        <w:numPr>
          <w:ilvl w:val="2"/>
          <w:numId w:val="11"/>
        </w:numPr>
        <w:spacing w:after="120"/>
        <w:rPr>
          <w:sz w:val="20"/>
          <w:szCs w:val="20"/>
          <w:lang w:eastAsia="zh-CN"/>
        </w:rPr>
      </w:pPr>
      <w:r w:rsidRPr="00C66E67">
        <w:rPr>
          <w:lang w:eastAsia="zh-CN"/>
        </w:rPr>
        <w:t xml:space="preserve">If </w:t>
      </w:r>
      <w:r>
        <w:rPr>
          <w:lang w:eastAsia="zh-CN"/>
        </w:rPr>
        <w:t>there is no direction information from DCI</w:t>
      </w:r>
      <w:r w:rsidRPr="00C66E67">
        <w:rPr>
          <w:lang w:eastAsia="zh-CN"/>
        </w:rPr>
        <w:t>, SFI takes the priority</w:t>
      </w:r>
    </w:p>
    <w:p w14:paraId="46471668" w14:textId="31D70C4D" w:rsidR="007F21AA" w:rsidRDefault="007F21AA" w:rsidP="007F21AA">
      <w:r w:rsidRPr="007F21AA">
        <w:rPr>
          <w:b/>
          <w:u w:val="single"/>
        </w:rPr>
        <w:t xml:space="preserve">Proposal </w:t>
      </w:r>
      <w:r>
        <w:rPr>
          <w:b/>
          <w:u w:val="single"/>
        </w:rPr>
        <w:t>3</w:t>
      </w:r>
      <w:r w:rsidRPr="007F21AA">
        <w:rPr>
          <w:b/>
          <w:u w:val="single"/>
        </w:rPr>
        <w:t>:</w:t>
      </w:r>
      <w:r>
        <w:t xml:space="preserve"> Consider SFI in GC PDCCH conflict rules as described above.</w:t>
      </w:r>
    </w:p>
    <w:p w14:paraId="1521C943" w14:textId="795F0AF4" w:rsidR="001D23A3" w:rsidRDefault="00CF4022" w:rsidP="001D23A3">
      <w:pPr>
        <w:pStyle w:val="Heading1"/>
      </w:pPr>
      <w:r>
        <w:t>Other o</w:t>
      </w:r>
      <w:r w:rsidR="001D23A3">
        <w:t>pen issues for group common PDCCH</w:t>
      </w:r>
    </w:p>
    <w:p w14:paraId="53B5C69C" w14:textId="15EDDA70" w:rsidR="00FF40CB" w:rsidRPr="00FF40CB" w:rsidRDefault="00FF40CB" w:rsidP="005408AA">
      <w:pPr>
        <w:pStyle w:val="Heading2"/>
      </w:pPr>
      <w:r w:rsidRPr="00FF40CB">
        <w:t>RRC configuration</w:t>
      </w:r>
    </w:p>
    <w:p w14:paraId="2D582FE2" w14:textId="5365983E" w:rsidR="00A25BD5" w:rsidRDefault="00FF40CB" w:rsidP="001D23A3">
      <w:pPr>
        <w:rPr>
          <w:lang w:val="en-GB"/>
        </w:rPr>
      </w:pPr>
      <w:r>
        <w:rPr>
          <w:lang w:val="en-GB"/>
        </w:rPr>
        <w:t>It was agreed that t</w:t>
      </w:r>
      <w:r w:rsidRPr="00FF40CB">
        <w:rPr>
          <w:lang w:val="en-GB"/>
        </w:rPr>
        <w:t xml:space="preserve">he network will inform through RRC signalling the UE whether to decode the </w:t>
      </w:r>
      <w:r w:rsidR="005408AA">
        <w:rPr>
          <w:lang w:val="en-GB"/>
        </w:rPr>
        <w:t>GC</w:t>
      </w:r>
      <w:r w:rsidRPr="00FF40CB">
        <w:rPr>
          <w:lang w:val="en-GB"/>
        </w:rPr>
        <w:t xml:space="preserve"> PDCCH or not</w:t>
      </w:r>
      <w:r>
        <w:rPr>
          <w:lang w:val="en-GB"/>
        </w:rPr>
        <w:t>. Then, the natural question is how to convey this message to the UEs belonging to other nearby neighbour cells.</w:t>
      </w:r>
      <w:r w:rsidR="00A25BD5">
        <w:rPr>
          <w:lang w:val="en-GB"/>
        </w:rPr>
        <w:t xml:space="preserve"> There can be multiple options:</w:t>
      </w:r>
    </w:p>
    <w:p w14:paraId="51080335" w14:textId="22F6C38D" w:rsidR="00FF40CB" w:rsidRPr="003413C9" w:rsidRDefault="00A25BD5" w:rsidP="0048032D">
      <w:pPr>
        <w:pStyle w:val="ListParagraph"/>
        <w:numPr>
          <w:ilvl w:val="0"/>
          <w:numId w:val="10"/>
        </w:numPr>
        <w:rPr>
          <w:rFonts w:ascii="Times New Roman" w:hAnsi="Times New Roman"/>
          <w:sz w:val="20"/>
        </w:rPr>
      </w:pPr>
      <w:r w:rsidRPr="003413C9">
        <w:rPr>
          <w:rFonts w:ascii="Times New Roman" w:hAnsi="Times New Roman"/>
          <w:sz w:val="20"/>
          <w:lang w:val="en-GB"/>
        </w:rPr>
        <w:t>The serving cell also provides the information for nearby neighbour cells</w:t>
      </w:r>
    </w:p>
    <w:p w14:paraId="6FB8C04D" w14:textId="593A8D31" w:rsidR="00A25BD5" w:rsidRPr="003413C9" w:rsidRDefault="00A25BD5" w:rsidP="0048032D">
      <w:pPr>
        <w:pStyle w:val="ListParagraph"/>
        <w:numPr>
          <w:ilvl w:val="0"/>
          <w:numId w:val="10"/>
        </w:numPr>
        <w:rPr>
          <w:rFonts w:ascii="Times New Roman" w:hAnsi="Times New Roman"/>
          <w:sz w:val="20"/>
        </w:rPr>
      </w:pPr>
      <w:r w:rsidRPr="003413C9">
        <w:rPr>
          <w:rFonts w:ascii="Times New Roman" w:hAnsi="Times New Roman"/>
          <w:sz w:val="20"/>
          <w:lang w:val="en-GB"/>
        </w:rPr>
        <w:t>UE assumes the same configuration for nearby neighbour cells</w:t>
      </w:r>
    </w:p>
    <w:p w14:paraId="481B4533" w14:textId="763A319B" w:rsidR="00A25BD5" w:rsidRPr="003413C9" w:rsidRDefault="00A25BD5" w:rsidP="0048032D">
      <w:pPr>
        <w:pStyle w:val="ListParagraph"/>
        <w:numPr>
          <w:ilvl w:val="0"/>
          <w:numId w:val="10"/>
        </w:numPr>
        <w:rPr>
          <w:rFonts w:ascii="Times New Roman" w:hAnsi="Times New Roman"/>
          <w:sz w:val="20"/>
        </w:rPr>
      </w:pPr>
      <w:r w:rsidRPr="003413C9">
        <w:rPr>
          <w:rFonts w:ascii="Times New Roman" w:hAnsi="Times New Roman"/>
          <w:sz w:val="20"/>
        </w:rPr>
        <w:t xml:space="preserve">The serving cell informs the configuration is limited to the serving cell only. In this case, UE most likely will not try to decode the </w:t>
      </w:r>
      <w:r w:rsidR="005408AA">
        <w:rPr>
          <w:rFonts w:ascii="Times New Roman" w:hAnsi="Times New Roman"/>
          <w:sz w:val="20"/>
        </w:rPr>
        <w:t>GC</w:t>
      </w:r>
      <w:r w:rsidRPr="003413C9">
        <w:rPr>
          <w:rFonts w:ascii="Times New Roman" w:hAnsi="Times New Roman"/>
          <w:sz w:val="20"/>
        </w:rPr>
        <w:t xml:space="preserve"> PDCCH of neighbor cells given uncertainty</w:t>
      </w:r>
    </w:p>
    <w:p w14:paraId="7E3FD913" w14:textId="0BBB2189" w:rsidR="00A25BD5" w:rsidRPr="00A25BD5" w:rsidRDefault="00A25BD5" w:rsidP="005408AA">
      <w:pPr>
        <w:pStyle w:val="Heading2"/>
      </w:pPr>
      <w:r w:rsidRPr="00A25BD5">
        <w:t>Scoping of ‘group common’</w:t>
      </w:r>
    </w:p>
    <w:p w14:paraId="330845E9" w14:textId="05E11EE8" w:rsidR="00FE53E8" w:rsidRDefault="00FE53E8" w:rsidP="001D23A3">
      <w:pPr>
        <w:rPr>
          <w:lang w:val="en-GB"/>
        </w:rPr>
      </w:pPr>
      <w:r>
        <w:rPr>
          <w:lang w:val="en-GB"/>
        </w:rPr>
        <w:t xml:space="preserve">It was </w:t>
      </w:r>
      <w:r w:rsidR="00A6157E">
        <w:rPr>
          <w:lang w:val="en-GB"/>
        </w:rPr>
        <w:t xml:space="preserve">also </w:t>
      </w:r>
      <w:r>
        <w:rPr>
          <w:lang w:val="en-GB"/>
        </w:rPr>
        <w:t>agreed that ‘</w:t>
      </w:r>
      <w:r w:rsidRPr="00FE53E8">
        <w:rPr>
          <w:lang w:val="en-GB"/>
        </w:rPr>
        <w:t>Common</w:t>
      </w:r>
      <w:r>
        <w:rPr>
          <w:lang w:val="en-GB"/>
        </w:rPr>
        <w:t>’</w:t>
      </w:r>
      <w:r w:rsidRPr="00FE53E8">
        <w:rPr>
          <w:lang w:val="en-GB"/>
        </w:rPr>
        <w:t xml:space="preserve"> does not necessarily imply common per cell.</w:t>
      </w:r>
      <w:r>
        <w:rPr>
          <w:lang w:val="en-GB"/>
        </w:rPr>
        <w:t xml:space="preserve"> There may be a need to clarify the scope of this group. </w:t>
      </w:r>
      <w:r w:rsidR="00A6157E">
        <w:rPr>
          <w:lang w:val="en-GB"/>
        </w:rPr>
        <w:t>If it is intended to have multiple groups within a cell and UE needs to distinguish different groups, there should be a solution on how to configure multiple groups.</w:t>
      </w:r>
    </w:p>
    <w:p w14:paraId="25023506" w14:textId="7911E602" w:rsidR="00A25BD5" w:rsidRPr="00A25BD5" w:rsidRDefault="00A25BD5" w:rsidP="005408AA">
      <w:pPr>
        <w:pStyle w:val="Heading2"/>
      </w:pPr>
      <w:r w:rsidRPr="00A25BD5">
        <w:lastRenderedPageBreak/>
        <w:t xml:space="preserve">PHY channel of </w:t>
      </w:r>
      <w:r w:rsidR="005408AA">
        <w:t>GC</w:t>
      </w:r>
      <w:r w:rsidRPr="00A25BD5">
        <w:t xml:space="preserve"> PDCCH</w:t>
      </w:r>
    </w:p>
    <w:p w14:paraId="65734AF5" w14:textId="598AE955" w:rsidR="002B1939" w:rsidRDefault="00A6157E" w:rsidP="001D23A3">
      <w:pPr>
        <w:rPr>
          <w:lang w:val="en-GB"/>
        </w:rPr>
      </w:pPr>
      <w:r>
        <w:t xml:space="preserve">Actual PHY channel for </w:t>
      </w:r>
      <w:r w:rsidR="005408AA">
        <w:t>GC</w:t>
      </w:r>
      <w:r>
        <w:t xml:space="preserve"> PDCCH is still TBD. We can consider reusing a regular PDCCH or introducing a new PHY channel. We view that PHY channel</w:t>
      </w:r>
      <w:r w:rsidR="001D23A3">
        <w:rPr>
          <w:lang w:val="en-GB"/>
        </w:rPr>
        <w:t xml:space="preserve"> decision </w:t>
      </w:r>
      <w:r>
        <w:rPr>
          <w:lang w:val="en-GB"/>
        </w:rPr>
        <w:t xml:space="preserve">can be </w:t>
      </w:r>
      <w:r w:rsidR="001D23A3">
        <w:rPr>
          <w:lang w:val="en-GB"/>
        </w:rPr>
        <w:t>de</w:t>
      </w:r>
      <w:r>
        <w:rPr>
          <w:lang w:val="en-GB"/>
        </w:rPr>
        <w:t xml:space="preserve">ferred till the contents of this </w:t>
      </w:r>
      <w:r w:rsidR="001D23A3">
        <w:rPr>
          <w:lang w:val="en-GB"/>
        </w:rPr>
        <w:t xml:space="preserve">channel </w:t>
      </w:r>
      <w:r>
        <w:rPr>
          <w:lang w:val="en-GB"/>
        </w:rPr>
        <w:t xml:space="preserve">and the number of information bits are </w:t>
      </w:r>
      <w:r w:rsidR="001D23A3">
        <w:rPr>
          <w:lang w:val="en-GB"/>
        </w:rPr>
        <w:t>finalized</w:t>
      </w:r>
      <w:r>
        <w:rPr>
          <w:lang w:val="en-GB"/>
        </w:rPr>
        <w:t>.</w:t>
      </w:r>
    </w:p>
    <w:p w14:paraId="0F4265EA" w14:textId="6A043087" w:rsidR="00920B0E" w:rsidRDefault="00920B0E" w:rsidP="00920B0E">
      <w:r w:rsidRPr="00A3651A">
        <w:rPr>
          <w:b/>
          <w:u w:val="single"/>
        </w:rPr>
        <w:t xml:space="preserve">Proposal </w:t>
      </w:r>
      <w:r w:rsidR="007F21AA">
        <w:rPr>
          <w:b/>
          <w:u w:val="single"/>
        </w:rPr>
        <w:t>4</w:t>
      </w:r>
      <w:r>
        <w:t xml:space="preserve">: PHY channel decision is deferred till the contents and the number of information bits for </w:t>
      </w:r>
      <w:r w:rsidR="005408AA">
        <w:t>GC</w:t>
      </w:r>
      <w:r>
        <w:t xml:space="preserve"> PDCCH are finalized.</w:t>
      </w:r>
    </w:p>
    <w:p w14:paraId="56D28D4B" w14:textId="26018A49" w:rsidR="00067CA8" w:rsidRPr="00226FE2" w:rsidRDefault="004503F9" w:rsidP="00067CA8">
      <w:pPr>
        <w:pStyle w:val="Heading1"/>
        <w:rPr>
          <w:lang w:eastAsia="zh-CN"/>
        </w:rPr>
      </w:pPr>
      <w:r>
        <w:rPr>
          <w:lang w:eastAsia="zh-CN"/>
        </w:rPr>
        <w:t>Conclusions</w:t>
      </w:r>
    </w:p>
    <w:p w14:paraId="44963BCB" w14:textId="5A13070D" w:rsidR="00915570" w:rsidRDefault="00CF4022" w:rsidP="00915570">
      <w:pPr>
        <w:rPr>
          <w:szCs w:val="22"/>
        </w:rPr>
      </w:pPr>
      <w:r>
        <w:rPr>
          <w:szCs w:val="22"/>
        </w:rPr>
        <w:t>We have discussed the use cases and corresponding contents for GC PDCCH in addition to what was already agreed.</w:t>
      </w:r>
      <w:r w:rsidR="005C33CE">
        <w:rPr>
          <w:szCs w:val="22"/>
        </w:rPr>
        <w:t xml:space="preserve"> The following proposals have been made:</w:t>
      </w:r>
    </w:p>
    <w:p w14:paraId="0F656015" w14:textId="77777777" w:rsidR="00CF4022" w:rsidRDefault="00CF4022" w:rsidP="00CF4022">
      <w:r w:rsidRPr="00F27776">
        <w:rPr>
          <w:b/>
          <w:u w:val="single"/>
        </w:rPr>
        <w:t>Proposal 1:</w:t>
      </w:r>
      <w:r>
        <w:t xml:space="preserve"> The following slot format indicator is proposed.</w:t>
      </w:r>
    </w:p>
    <w:p w14:paraId="3F23B79B" w14:textId="77777777" w:rsidR="00CF4022" w:rsidRDefault="00CF4022" w:rsidP="00CF4022">
      <w:pPr>
        <w:pStyle w:val="ListParagraph"/>
        <w:numPr>
          <w:ilvl w:val="0"/>
          <w:numId w:val="11"/>
        </w:numPr>
      </w:pPr>
      <w:r>
        <w:t>Slot Format Indicator (SFI)</w:t>
      </w:r>
    </w:p>
    <w:p w14:paraId="58479511" w14:textId="77777777" w:rsidR="00CF4022" w:rsidRDefault="00CF4022" w:rsidP="00CF4022">
      <w:pPr>
        <w:pStyle w:val="ListParagraph"/>
        <w:numPr>
          <w:ilvl w:val="1"/>
          <w:numId w:val="11"/>
        </w:numPr>
      </w:pPr>
      <w:r>
        <w:t>DL centric slot (TDD)</w:t>
      </w:r>
    </w:p>
    <w:p w14:paraId="4D2E8C42" w14:textId="77777777" w:rsidR="00CF4022" w:rsidRDefault="00CF4022" w:rsidP="00CF4022">
      <w:pPr>
        <w:pStyle w:val="ListParagraph"/>
        <w:numPr>
          <w:ilvl w:val="1"/>
          <w:numId w:val="11"/>
        </w:numPr>
      </w:pPr>
      <w:r>
        <w:t>UL centric slot (TDD)</w:t>
      </w:r>
    </w:p>
    <w:p w14:paraId="0DC7AD13" w14:textId="77777777" w:rsidR="00CF4022" w:rsidRDefault="00CF4022" w:rsidP="00CF4022">
      <w:pPr>
        <w:pStyle w:val="ListParagraph"/>
        <w:numPr>
          <w:ilvl w:val="1"/>
          <w:numId w:val="11"/>
        </w:numPr>
      </w:pPr>
      <w:r>
        <w:t>DL only slot (TDD)</w:t>
      </w:r>
    </w:p>
    <w:p w14:paraId="4047775C" w14:textId="77777777" w:rsidR="00CF4022" w:rsidRDefault="00CF4022" w:rsidP="00CF4022">
      <w:pPr>
        <w:pStyle w:val="ListParagraph"/>
        <w:numPr>
          <w:ilvl w:val="1"/>
          <w:numId w:val="11"/>
        </w:numPr>
      </w:pPr>
      <w:r>
        <w:t>Empty (TDD, FDD)</w:t>
      </w:r>
    </w:p>
    <w:p w14:paraId="10BAECE0" w14:textId="77777777" w:rsidR="00CF4022" w:rsidRDefault="00CF4022" w:rsidP="00CF4022">
      <w:pPr>
        <w:pStyle w:val="ListParagraph"/>
        <w:numPr>
          <w:ilvl w:val="1"/>
          <w:numId w:val="11"/>
        </w:numPr>
      </w:pPr>
      <w:r>
        <w:t>Reserved (TDD, FDD)</w:t>
      </w:r>
    </w:p>
    <w:p w14:paraId="6E1E08CA" w14:textId="77777777" w:rsidR="00CF4022" w:rsidRDefault="00CF4022" w:rsidP="00CF4022">
      <w:pPr>
        <w:pStyle w:val="ListParagraph"/>
        <w:numPr>
          <w:ilvl w:val="2"/>
          <w:numId w:val="11"/>
        </w:numPr>
      </w:pPr>
      <w:r>
        <w:t>Data region only</w:t>
      </w:r>
    </w:p>
    <w:p w14:paraId="11442F29" w14:textId="77777777" w:rsidR="00CF4022" w:rsidRPr="006F7A6B" w:rsidRDefault="00CF4022" w:rsidP="00CF4022">
      <w:pPr>
        <w:pStyle w:val="ListParagraph"/>
        <w:numPr>
          <w:ilvl w:val="2"/>
          <w:numId w:val="11"/>
        </w:numPr>
      </w:pPr>
      <w:r>
        <w:t>Data and control regions</w:t>
      </w:r>
    </w:p>
    <w:p w14:paraId="36B4C55A" w14:textId="77777777" w:rsidR="00CF4022" w:rsidRDefault="00CF4022" w:rsidP="00CF4022">
      <w:r w:rsidRPr="00CF4022">
        <w:rPr>
          <w:b/>
          <w:u w:val="single"/>
        </w:rPr>
        <w:t>Proposal 2:</w:t>
      </w:r>
      <w:r>
        <w:t xml:space="preserve"> Aggregated slot level (# of slots) is proposed as the part of GC PDCCH contents.</w:t>
      </w:r>
    </w:p>
    <w:p w14:paraId="27E4317E" w14:textId="40C4D86C" w:rsidR="00CF4022" w:rsidRDefault="00CF4022" w:rsidP="00CF4022">
      <w:r w:rsidRPr="007F21AA">
        <w:rPr>
          <w:b/>
          <w:u w:val="single"/>
        </w:rPr>
        <w:t xml:space="preserve">Proposal </w:t>
      </w:r>
      <w:r>
        <w:rPr>
          <w:b/>
          <w:u w:val="single"/>
        </w:rPr>
        <w:t>3</w:t>
      </w:r>
      <w:r w:rsidRPr="007F21AA">
        <w:rPr>
          <w:b/>
          <w:u w:val="single"/>
        </w:rPr>
        <w:t>:</w:t>
      </w:r>
      <w:r>
        <w:t xml:space="preserve"> Consider SFI conflict rules as follows:</w:t>
      </w:r>
    </w:p>
    <w:p w14:paraId="26641C44" w14:textId="77777777" w:rsidR="00CF4022" w:rsidRPr="00C66E67" w:rsidRDefault="00CF4022" w:rsidP="00CF4022">
      <w:pPr>
        <w:pStyle w:val="ListParagraph"/>
        <w:numPr>
          <w:ilvl w:val="0"/>
          <w:numId w:val="11"/>
        </w:numPr>
        <w:spacing w:after="120"/>
        <w:rPr>
          <w:lang w:eastAsia="zh-CN"/>
        </w:rPr>
      </w:pPr>
      <w:r w:rsidRPr="00C66E67">
        <w:rPr>
          <w:lang w:eastAsia="zh-CN"/>
        </w:rPr>
        <w:t>SFI conflict with DCI</w:t>
      </w:r>
    </w:p>
    <w:p w14:paraId="699D3378" w14:textId="77777777" w:rsidR="00CF4022" w:rsidRPr="00C66E67" w:rsidRDefault="00CF4022" w:rsidP="00CF4022">
      <w:pPr>
        <w:pStyle w:val="ListParagraph"/>
        <w:numPr>
          <w:ilvl w:val="1"/>
          <w:numId w:val="11"/>
        </w:numPr>
        <w:spacing w:after="120"/>
        <w:rPr>
          <w:lang w:eastAsia="zh-CN"/>
        </w:rPr>
      </w:pPr>
      <w:r w:rsidRPr="00C66E67">
        <w:rPr>
          <w:lang w:eastAsia="zh-CN"/>
        </w:rPr>
        <w:t xml:space="preserve">DCI </w:t>
      </w:r>
      <w:r>
        <w:rPr>
          <w:lang w:eastAsia="zh-CN"/>
        </w:rPr>
        <w:t xml:space="preserve">should </w:t>
      </w:r>
      <w:r w:rsidRPr="00C66E67">
        <w:rPr>
          <w:lang w:eastAsia="zh-CN"/>
        </w:rPr>
        <w:t>take the priority</w:t>
      </w:r>
      <w:r>
        <w:rPr>
          <w:lang w:eastAsia="zh-CN"/>
        </w:rPr>
        <w:t xml:space="preserve"> in case SFI conflicts with DCI considering the error protection in DCI</w:t>
      </w:r>
    </w:p>
    <w:p w14:paraId="4ECC6978" w14:textId="77777777" w:rsidR="00CF4022" w:rsidRPr="00C66E67" w:rsidRDefault="00CF4022" w:rsidP="00CF4022">
      <w:pPr>
        <w:pStyle w:val="ListParagraph"/>
        <w:numPr>
          <w:ilvl w:val="2"/>
          <w:numId w:val="11"/>
        </w:numPr>
        <w:spacing w:after="120"/>
        <w:rPr>
          <w:lang w:eastAsia="zh-CN"/>
        </w:rPr>
      </w:pPr>
      <w:r>
        <w:rPr>
          <w:lang w:eastAsia="zh-CN"/>
        </w:rPr>
        <w:t>This a</w:t>
      </w:r>
      <w:r w:rsidRPr="00C66E67">
        <w:rPr>
          <w:lang w:eastAsia="zh-CN"/>
        </w:rPr>
        <w:t>ssum</w:t>
      </w:r>
      <w:r>
        <w:rPr>
          <w:lang w:eastAsia="zh-CN"/>
        </w:rPr>
        <w:t>es</w:t>
      </w:r>
      <w:r w:rsidRPr="00C66E67">
        <w:rPr>
          <w:lang w:eastAsia="zh-CN"/>
        </w:rPr>
        <w:t xml:space="preserve"> NW does not send conflicting SFI with DCI</w:t>
      </w:r>
    </w:p>
    <w:p w14:paraId="12F7097F" w14:textId="77777777" w:rsidR="00CF4022" w:rsidRPr="00C66E67" w:rsidRDefault="00CF4022" w:rsidP="00CF4022">
      <w:pPr>
        <w:pStyle w:val="ListParagraph"/>
        <w:numPr>
          <w:ilvl w:val="0"/>
          <w:numId w:val="11"/>
        </w:numPr>
        <w:spacing w:after="120"/>
        <w:rPr>
          <w:lang w:eastAsia="zh-CN"/>
        </w:rPr>
      </w:pPr>
      <w:r w:rsidRPr="00C66E67">
        <w:rPr>
          <w:lang w:eastAsia="zh-CN"/>
        </w:rPr>
        <w:t>SFI conflict with periodic signaling</w:t>
      </w:r>
    </w:p>
    <w:p w14:paraId="2A340C01" w14:textId="77777777" w:rsidR="00CF4022" w:rsidRPr="00C66E67" w:rsidRDefault="00CF4022" w:rsidP="00CF4022">
      <w:pPr>
        <w:pStyle w:val="ListParagraph"/>
        <w:numPr>
          <w:ilvl w:val="1"/>
          <w:numId w:val="11"/>
        </w:numPr>
        <w:spacing w:after="120"/>
        <w:rPr>
          <w:lang w:eastAsia="zh-CN"/>
        </w:rPr>
      </w:pPr>
      <w:r w:rsidRPr="00C66E67">
        <w:rPr>
          <w:lang w:eastAsia="zh-CN"/>
        </w:rPr>
        <w:t>Periodic signaling</w:t>
      </w:r>
    </w:p>
    <w:p w14:paraId="29BD450D" w14:textId="77777777" w:rsidR="00CF4022" w:rsidRPr="00C66E67" w:rsidRDefault="00CF4022" w:rsidP="00CF4022">
      <w:pPr>
        <w:pStyle w:val="ListParagraph"/>
        <w:numPr>
          <w:ilvl w:val="2"/>
          <w:numId w:val="11"/>
        </w:numPr>
        <w:spacing w:after="120"/>
        <w:rPr>
          <w:lang w:eastAsia="zh-CN"/>
        </w:rPr>
      </w:pPr>
      <w:r w:rsidRPr="00C66E67">
        <w:rPr>
          <w:lang w:eastAsia="zh-CN"/>
        </w:rPr>
        <w:t>DL: CSI-RS, SS block, SPS</w:t>
      </w:r>
    </w:p>
    <w:p w14:paraId="5D0ED086" w14:textId="77777777" w:rsidR="00CF4022" w:rsidRPr="00C66E67" w:rsidRDefault="00CF4022" w:rsidP="00CF4022">
      <w:pPr>
        <w:pStyle w:val="ListParagraph"/>
        <w:numPr>
          <w:ilvl w:val="2"/>
          <w:numId w:val="11"/>
        </w:numPr>
        <w:spacing w:after="120"/>
        <w:rPr>
          <w:lang w:eastAsia="zh-CN"/>
        </w:rPr>
      </w:pPr>
      <w:r w:rsidRPr="00C66E67">
        <w:rPr>
          <w:lang w:eastAsia="zh-CN"/>
        </w:rPr>
        <w:t>UL: SRS, CSI</w:t>
      </w:r>
      <w:r>
        <w:rPr>
          <w:lang w:eastAsia="zh-CN"/>
        </w:rPr>
        <w:t>, SPS</w:t>
      </w:r>
    </w:p>
    <w:p w14:paraId="1C62857D" w14:textId="77777777" w:rsidR="00CF4022" w:rsidRPr="00C66E67" w:rsidRDefault="00CF4022" w:rsidP="00CF4022">
      <w:pPr>
        <w:pStyle w:val="ListParagraph"/>
        <w:numPr>
          <w:ilvl w:val="1"/>
          <w:numId w:val="11"/>
        </w:numPr>
        <w:spacing w:after="120"/>
        <w:rPr>
          <w:lang w:eastAsia="zh-CN"/>
        </w:rPr>
      </w:pPr>
      <w:r w:rsidRPr="00C66E67">
        <w:rPr>
          <w:lang w:eastAsia="zh-CN"/>
        </w:rPr>
        <w:t>Directional conflict (DL or UL)</w:t>
      </w:r>
    </w:p>
    <w:p w14:paraId="0AA7D9F7" w14:textId="77777777" w:rsidR="00CF4022" w:rsidRPr="00C66E67" w:rsidRDefault="00CF4022" w:rsidP="00CF4022">
      <w:pPr>
        <w:pStyle w:val="ListParagraph"/>
        <w:numPr>
          <w:ilvl w:val="2"/>
          <w:numId w:val="11"/>
        </w:numPr>
        <w:spacing w:after="120"/>
        <w:rPr>
          <w:lang w:eastAsia="zh-CN"/>
        </w:rPr>
      </w:pPr>
      <w:r w:rsidRPr="00C66E67">
        <w:rPr>
          <w:lang w:eastAsia="zh-CN"/>
        </w:rPr>
        <w:t>First takes the direction from DCI if available</w:t>
      </w:r>
    </w:p>
    <w:p w14:paraId="64618C21" w14:textId="77777777" w:rsidR="00CF4022" w:rsidRDefault="00CF4022" w:rsidP="00CF4022">
      <w:pPr>
        <w:pStyle w:val="ListParagraph"/>
        <w:numPr>
          <w:ilvl w:val="2"/>
          <w:numId w:val="11"/>
        </w:numPr>
        <w:spacing w:after="120"/>
        <w:rPr>
          <w:lang w:eastAsia="zh-CN"/>
        </w:rPr>
      </w:pPr>
      <w:r w:rsidRPr="00C66E67">
        <w:rPr>
          <w:lang w:eastAsia="zh-CN"/>
        </w:rPr>
        <w:t xml:space="preserve">If </w:t>
      </w:r>
      <w:r>
        <w:rPr>
          <w:lang w:eastAsia="zh-CN"/>
        </w:rPr>
        <w:t>there is no direction information from DCI</w:t>
      </w:r>
      <w:r w:rsidRPr="00C66E67">
        <w:rPr>
          <w:lang w:eastAsia="zh-CN"/>
        </w:rPr>
        <w:t>, SFI takes the priority</w:t>
      </w:r>
    </w:p>
    <w:p w14:paraId="0D49BF0F" w14:textId="77777777" w:rsidR="00CF4022" w:rsidRPr="00C66E67" w:rsidRDefault="00CF4022" w:rsidP="00CF4022">
      <w:pPr>
        <w:pStyle w:val="ListParagraph"/>
        <w:numPr>
          <w:ilvl w:val="3"/>
          <w:numId w:val="11"/>
        </w:numPr>
        <w:spacing w:after="120"/>
        <w:rPr>
          <w:lang w:eastAsia="zh-CN"/>
        </w:rPr>
      </w:pPr>
      <w:r>
        <w:rPr>
          <w:lang w:eastAsia="zh-CN"/>
        </w:rPr>
        <w:t>False detection probability and its impact needs to be studied</w:t>
      </w:r>
    </w:p>
    <w:p w14:paraId="61335998" w14:textId="77777777" w:rsidR="00CF4022" w:rsidRDefault="00CF4022" w:rsidP="00CF4022">
      <w:pPr>
        <w:pStyle w:val="ListParagraph"/>
        <w:numPr>
          <w:ilvl w:val="1"/>
          <w:numId w:val="11"/>
        </w:numPr>
        <w:spacing w:after="120"/>
        <w:rPr>
          <w:lang w:eastAsia="zh-CN"/>
        </w:rPr>
      </w:pPr>
      <w:r>
        <w:rPr>
          <w:lang w:eastAsia="zh-CN"/>
        </w:rPr>
        <w:t>Conflict with ‘empty’ SFI</w:t>
      </w:r>
    </w:p>
    <w:p w14:paraId="0A011070" w14:textId="77777777" w:rsidR="00CF4022" w:rsidRPr="00C66E67" w:rsidRDefault="00CF4022" w:rsidP="00CF4022">
      <w:pPr>
        <w:pStyle w:val="ListParagraph"/>
        <w:numPr>
          <w:ilvl w:val="2"/>
          <w:numId w:val="11"/>
        </w:numPr>
        <w:spacing w:after="120"/>
        <w:rPr>
          <w:lang w:eastAsia="zh-CN"/>
        </w:rPr>
      </w:pPr>
      <w:r w:rsidRPr="00C66E67">
        <w:rPr>
          <w:lang w:eastAsia="zh-CN"/>
        </w:rPr>
        <w:t>First takes the direction from DCI if available</w:t>
      </w:r>
    </w:p>
    <w:p w14:paraId="65E04199" w14:textId="77777777" w:rsidR="00CF4022" w:rsidRDefault="00CF4022" w:rsidP="00CF4022">
      <w:pPr>
        <w:pStyle w:val="ListParagraph"/>
        <w:numPr>
          <w:ilvl w:val="2"/>
          <w:numId w:val="11"/>
        </w:numPr>
        <w:spacing w:after="120"/>
        <w:rPr>
          <w:lang w:eastAsia="zh-CN"/>
        </w:rPr>
      </w:pPr>
      <w:r>
        <w:rPr>
          <w:lang w:eastAsia="zh-CN"/>
        </w:rPr>
        <w:t>If there is no direction information from DCI, periodic signaling takes the priority</w:t>
      </w:r>
    </w:p>
    <w:p w14:paraId="67416B2A" w14:textId="77777777" w:rsidR="00CF4022" w:rsidRPr="00C66E67" w:rsidRDefault="00CF4022" w:rsidP="00CF4022">
      <w:pPr>
        <w:pStyle w:val="ListParagraph"/>
        <w:numPr>
          <w:ilvl w:val="1"/>
          <w:numId w:val="11"/>
        </w:numPr>
        <w:spacing w:after="120"/>
        <w:rPr>
          <w:lang w:eastAsia="zh-CN"/>
        </w:rPr>
      </w:pPr>
      <w:r>
        <w:rPr>
          <w:lang w:eastAsia="zh-CN"/>
        </w:rPr>
        <w:t>Conflict with ‘reserved’ SFI</w:t>
      </w:r>
    </w:p>
    <w:p w14:paraId="53B90944" w14:textId="77777777" w:rsidR="00CF4022" w:rsidRPr="00C66E67" w:rsidRDefault="00CF4022" w:rsidP="00CF4022">
      <w:pPr>
        <w:pStyle w:val="ListParagraph"/>
        <w:numPr>
          <w:ilvl w:val="2"/>
          <w:numId w:val="11"/>
        </w:numPr>
        <w:spacing w:after="120"/>
        <w:rPr>
          <w:lang w:eastAsia="zh-CN"/>
        </w:rPr>
      </w:pPr>
      <w:r w:rsidRPr="00C66E67">
        <w:rPr>
          <w:lang w:eastAsia="zh-CN"/>
        </w:rPr>
        <w:t>First takes the direction from DCI if available</w:t>
      </w:r>
    </w:p>
    <w:p w14:paraId="7CA55BD4" w14:textId="77777777" w:rsidR="00CF4022" w:rsidRPr="007F21AA" w:rsidRDefault="00CF4022" w:rsidP="00CF4022">
      <w:pPr>
        <w:pStyle w:val="ListParagraph"/>
        <w:numPr>
          <w:ilvl w:val="2"/>
          <w:numId w:val="11"/>
        </w:numPr>
        <w:spacing w:after="120"/>
        <w:rPr>
          <w:sz w:val="20"/>
          <w:szCs w:val="20"/>
          <w:lang w:eastAsia="zh-CN"/>
        </w:rPr>
      </w:pPr>
      <w:r w:rsidRPr="00C66E67">
        <w:rPr>
          <w:lang w:eastAsia="zh-CN"/>
        </w:rPr>
        <w:lastRenderedPageBreak/>
        <w:t xml:space="preserve">If </w:t>
      </w:r>
      <w:r>
        <w:rPr>
          <w:lang w:eastAsia="zh-CN"/>
        </w:rPr>
        <w:t>there is no direction information from DCI</w:t>
      </w:r>
      <w:r w:rsidRPr="00C66E67">
        <w:rPr>
          <w:lang w:eastAsia="zh-CN"/>
        </w:rPr>
        <w:t>, SFI takes the priority</w:t>
      </w:r>
    </w:p>
    <w:p w14:paraId="17EF3EFC" w14:textId="77777777" w:rsidR="00CF4022" w:rsidRDefault="00CF4022" w:rsidP="00CF4022">
      <w:r w:rsidRPr="00CF4022">
        <w:rPr>
          <w:b/>
          <w:u w:val="single"/>
        </w:rPr>
        <w:t>Proposal 4</w:t>
      </w:r>
      <w:r>
        <w:t>: PHY channel decision is deferred till the contents and the number of information bits for GC PDCCH are finalized.</w:t>
      </w:r>
    </w:p>
    <w:p w14:paraId="27025F22" w14:textId="77777777" w:rsidR="00CF4022" w:rsidRDefault="00CF4022" w:rsidP="00CF4022"/>
    <w:sectPr w:rsidR="00CF4022" w:rsidSect="00671B4F">
      <w:headerReference w:type="even" r:id="rId22"/>
      <w:footerReference w:type="even" r:id="rId23"/>
      <w:footerReference w:type="default" r:id="rId2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2C4243" w14:textId="77777777" w:rsidR="00C207CE" w:rsidRDefault="00C207CE">
      <w:r>
        <w:separator/>
      </w:r>
    </w:p>
  </w:endnote>
  <w:endnote w:type="continuationSeparator" w:id="0">
    <w:p w14:paraId="38B3FF0B" w14:textId="77777777" w:rsidR="00C207CE" w:rsidRDefault="00C207CE">
      <w:r>
        <w:continuationSeparator/>
      </w:r>
    </w:p>
  </w:endnote>
  <w:endnote w:type="continuationNotice" w:id="1">
    <w:p w14:paraId="3E998C28" w14:textId="77777777" w:rsidR="00C207CE" w:rsidRDefault="00C207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1" w14:textId="77777777" w:rsidR="006206A2" w:rsidRDefault="006206A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6206A2" w:rsidRDefault="006206A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3" w14:textId="50C268D7" w:rsidR="006206A2" w:rsidRDefault="006206A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312ACB">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12ACB">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40E62B" w14:textId="77777777" w:rsidR="00C207CE" w:rsidRDefault="00C207CE">
      <w:r>
        <w:separator/>
      </w:r>
    </w:p>
  </w:footnote>
  <w:footnote w:type="continuationSeparator" w:id="0">
    <w:p w14:paraId="566B2195" w14:textId="77777777" w:rsidR="00C207CE" w:rsidRDefault="00C207CE">
      <w:r>
        <w:continuationSeparator/>
      </w:r>
    </w:p>
  </w:footnote>
  <w:footnote w:type="continuationNotice" w:id="1">
    <w:p w14:paraId="410173AE" w14:textId="77777777" w:rsidR="00C207CE" w:rsidRDefault="00C207C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0" w14:textId="77777777" w:rsidR="006206A2" w:rsidRDefault="006206A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7" type="#_x0000_t75" style="width:15.75pt;height:15.75pt" o:bullet="t">
        <v:imagedata r:id="rId1" o:title="art4585"/>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B6D177E"/>
    <w:multiLevelType w:val="hybridMultilevel"/>
    <w:tmpl w:val="C7E41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0472AD"/>
    <w:multiLevelType w:val="hybridMultilevel"/>
    <w:tmpl w:val="55FAD3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F92B60"/>
    <w:multiLevelType w:val="hybridMultilevel"/>
    <w:tmpl w:val="7DBAE566"/>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7C0B7E51"/>
    <w:multiLevelType w:val="hybridMultilevel"/>
    <w:tmpl w:val="668EE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10"/>
  </w:num>
  <w:num w:numId="4">
    <w:abstractNumId w:val="9"/>
  </w:num>
  <w:num w:numId="5">
    <w:abstractNumId w:val="4"/>
  </w:num>
  <w:num w:numId="6">
    <w:abstractNumId w:val="7"/>
  </w:num>
  <w:num w:numId="7">
    <w:abstractNumId w:val="5"/>
  </w:num>
  <w:num w:numId="8">
    <w:abstractNumId w:val="8"/>
  </w:num>
  <w:num w:numId="9">
    <w:abstractNumId w:val="3"/>
  </w:num>
  <w:num w:numId="10">
    <w:abstractNumId w:val="11"/>
  </w:num>
  <w:num w:numId="11">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5D97"/>
    <w:rsid w:val="000063BC"/>
    <w:rsid w:val="00006780"/>
    <w:rsid w:val="00006C7A"/>
    <w:rsid w:val="000070F5"/>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0B6"/>
    <w:rsid w:val="0002113C"/>
    <w:rsid w:val="0002130A"/>
    <w:rsid w:val="00021911"/>
    <w:rsid w:val="00021B96"/>
    <w:rsid w:val="00021C67"/>
    <w:rsid w:val="00021DEC"/>
    <w:rsid w:val="00021FE3"/>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D3D"/>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67D1"/>
    <w:rsid w:val="00067087"/>
    <w:rsid w:val="0006721A"/>
    <w:rsid w:val="0006739D"/>
    <w:rsid w:val="0006777C"/>
    <w:rsid w:val="00067CA8"/>
    <w:rsid w:val="00067FE2"/>
    <w:rsid w:val="00070192"/>
    <w:rsid w:val="00070FC3"/>
    <w:rsid w:val="0007118F"/>
    <w:rsid w:val="0007162A"/>
    <w:rsid w:val="000716FB"/>
    <w:rsid w:val="00071740"/>
    <w:rsid w:val="00072A48"/>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7796D"/>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A3D"/>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3BC"/>
    <w:rsid w:val="000B65BE"/>
    <w:rsid w:val="000B6BDF"/>
    <w:rsid w:val="000B71B6"/>
    <w:rsid w:val="000B7B2B"/>
    <w:rsid w:val="000B7D5E"/>
    <w:rsid w:val="000C133A"/>
    <w:rsid w:val="000C1545"/>
    <w:rsid w:val="000C1DBD"/>
    <w:rsid w:val="000C2052"/>
    <w:rsid w:val="000C22A8"/>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09BB"/>
    <w:rsid w:val="001010D7"/>
    <w:rsid w:val="0010129F"/>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423"/>
    <w:rsid w:val="0010795D"/>
    <w:rsid w:val="0011034F"/>
    <w:rsid w:val="0011036F"/>
    <w:rsid w:val="00110851"/>
    <w:rsid w:val="001115C0"/>
    <w:rsid w:val="001115F4"/>
    <w:rsid w:val="001116D2"/>
    <w:rsid w:val="0011190B"/>
    <w:rsid w:val="00111AD9"/>
    <w:rsid w:val="0011211D"/>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486"/>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6EE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679"/>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42"/>
    <w:rsid w:val="00165D2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0EA1"/>
    <w:rsid w:val="00171661"/>
    <w:rsid w:val="00171876"/>
    <w:rsid w:val="00171B5E"/>
    <w:rsid w:val="00171BC2"/>
    <w:rsid w:val="00171D7E"/>
    <w:rsid w:val="00171F14"/>
    <w:rsid w:val="00172261"/>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35"/>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9F8"/>
    <w:rsid w:val="001D1CFF"/>
    <w:rsid w:val="001D23A3"/>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50C"/>
    <w:rsid w:val="001E7A8F"/>
    <w:rsid w:val="001E7BE3"/>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543"/>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657F"/>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3FCB"/>
    <w:rsid w:val="0024445A"/>
    <w:rsid w:val="00244606"/>
    <w:rsid w:val="00244924"/>
    <w:rsid w:val="002449F4"/>
    <w:rsid w:val="00245115"/>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25D"/>
    <w:rsid w:val="002533FF"/>
    <w:rsid w:val="00253400"/>
    <w:rsid w:val="002537F5"/>
    <w:rsid w:val="00253905"/>
    <w:rsid w:val="0025429A"/>
    <w:rsid w:val="00256B22"/>
    <w:rsid w:val="00256B25"/>
    <w:rsid w:val="00256D51"/>
    <w:rsid w:val="00256F02"/>
    <w:rsid w:val="002571C8"/>
    <w:rsid w:val="002572F1"/>
    <w:rsid w:val="002573C4"/>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67819"/>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272A"/>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939"/>
    <w:rsid w:val="002B1AFA"/>
    <w:rsid w:val="002B21D6"/>
    <w:rsid w:val="002B2C92"/>
    <w:rsid w:val="002B3081"/>
    <w:rsid w:val="002B318B"/>
    <w:rsid w:val="002B32BC"/>
    <w:rsid w:val="002B340B"/>
    <w:rsid w:val="002B34AE"/>
    <w:rsid w:val="002B39E3"/>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1D21"/>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6DE"/>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5E"/>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2ACB"/>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310"/>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3C9"/>
    <w:rsid w:val="00341706"/>
    <w:rsid w:val="00341CFA"/>
    <w:rsid w:val="0034246D"/>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91"/>
    <w:rsid w:val="003741D2"/>
    <w:rsid w:val="003744CB"/>
    <w:rsid w:val="0037450B"/>
    <w:rsid w:val="00374804"/>
    <w:rsid w:val="003748F9"/>
    <w:rsid w:val="00374C80"/>
    <w:rsid w:val="00374F06"/>
    <w:rsid w:val="00375222"/>
    <w:rsid w:val="00375FFC"/>
    <w:rsid w:val="003763DA"/>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868"/>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3FD"/>
    <w:rsid w:val="00393A68"/>
    <w:rsid w:val="00393B78"/>
    <w:rsid w:val="003946B1"/>
    <w:rsid w:val="00394775"/>
    <w:rsid w:val="00394948"/>
    <w:rsid w:val="00394B44"/>
    <w:rsid w:val="00394D6C"/>
    <w:rsid w:val="0039502C"/>
    <w:rsid w:val="0039511F"/>
    <w:rsid w:val="003956FE"/>
    <w:rsid w:val="0039586B"/>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487"/>
    <w:rsid w:val="003E0622"/>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DFF"/>
    <w:rsid w:val="0040015E"/>
    <w:rsid w:val="00400427"/>
    <w:rsid w:val="00400615"/>
    <w:rsid w:val="00400AB0"/>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4FCC"/>
    <w:rsid w:val="00405898"/>
    <w:rsid w:val="00405A9F"/>
    <w:rsid w:val="00405D95"/>
    <w:rsid w:val="00405F90"/>
    <w:rsid w:val="00406108"/>
    <w:rsid w:val="00406412"/>
    <w:rsid w:val="00406D4A"/>
    <w:rsid w:val="00406D9D"/>
    <w:rsid w:val="00406F4B"/>
    <w:rsid w:val="00406FBD"/>
    <w:rsid w:val="004073B0"/>
    <w:rsid w:val="00407612"/>
    <w:rsid w:val="0041029D"/>
    <w:rsid w:val="004102A7"/>
    <w:rsid w:val="00411230"/>
    <w:rsid w:val="00411472"/>
    <w:rsid w:val="004116C3"/>
    <w:rsid w:val="004118C9"/>
    <w:rsid w:val="00412263"/>
    <w:rsid w:val="0041249C"/>
    <w:rsid w:val="00412697"/>
    <w:rsid w:val="0041336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EC6"/>
    <w:rsid w:val="004222BF"/>
    <w:rsid w:val="00422A01"/>
    <w:rsid w:val="00422D62"/>
    <w:rsid w:val="00422DB5"/>
    <w:rsid w:val="004232D4"/>
    <w:rsid w:val="00423326"/>
    <w:rsid w:val="0042408B"/>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173B"/>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0D5"/>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8032D"/>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8E0"/>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328"/>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EAC"/>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0E7"/>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10374"/>
    <w:rsid w:val="00510444"/>
    <w:rsid w:val="00510626"/>
    <w:rsid w:val="00511599"/>
    <w:rsid w:val="005119D6"/>
    <w:rsid w:val="00511E67"/>
    <w:rsid w:val="00512747"/>
    <w:rsid w:val="00512A7B"/>
    <w:rsid w:val="00512D39"/>
    <w:rsid w:val="00513B8C"/>
    <w:rsid w:val="00513F8F"/>
    <w:rsid w:val="005147E7"/>
    <w:rsid w:val="005149A2"/>
    <w:rsid w:val="00514CEE"/>
    <w:rsid w:val="005150E4"/>
    <w:rsid w:val="0051548D"/>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8AA"/>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6EA"/>
    <w:rsid w:val="00576903"/>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424"/>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022"/>
    <w:rsid w:val="005C33CE"/>
    <w:rsid w:val="005C376D"/>
    <w:rsid w:val="005C4B4D"/>
    <w:rsid w:val="005C4CD6"/>
    <w:rsid w:val="005C4DE3"/>
    <w:rsid w:val="005C5024"/>
    <w:rsid w:val="005C5372"/>
    <w:rsid w:val="005C5379"/>
    <w:rsid w:val="005C537D"/>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3F5F"/>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AEB"/>
    <w:rsid w:val="00623E4E"/>
    <w:rsid w:val="00624C2C"/>
    <w:rsid w:val="00624C6E"/>
    <w:rsid w:val="00624FB3"/>
    <w:rsid w:val="00624FF1"/>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DAB"/>
    <w:rsid w:val="00663F72"/>
    <w:rsid w:val="00664678"/>
    <w:rsid w:val="006646F4"/>
    <w:rsid w:val="00665229"/>
    <w:rsid w:val="00665316"/>
    <w:rsid w:val="006654E8"/>
    <w:rsid w:val="0066568F"/>
    <w:rsid w:val="00665CCE"/>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4A5"/>
    <w:rsid w:val="006A18DD"/>
    <w:rsid w:val="006A20BD"/>
    <w:rsid w:val="006A2312"/>
    <w:rsid w:val="006A2347"/>
    <w:rsid w:val="006A24B3"/>
    <w:rsid w:val="006A29BF"/>
    <w:rsid w:val="006A2BF5"/>
    <w:rsid w:val="006A2D0E"/>
    <w:rsid w:val="006A2E66"/>
    <w:rsid w:val="006A3227"/>
    <w:rsid w:val="006A3396"/>
    <w:rsid w:val="006A3F94"/>
    <w:rsid w:val="006A40D0"/>
    <w:rsid w:val="006A4113"/>
    <w:rsid w:val="006A49B5"/>
    <w:rsid w:val="006A4F1A"/>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CC3"/>
    <w:rsid w:val="006D3D01"/>
    <w:rsid w:val="006D4133"/>
    <w:rsid w:val="006D4373"/>
    <w:rsid w:val="006D492A"/>
    <w:rsid w:val="006D493C"/>
    <w:rsid w:val="006D5457"/>
    <w:rsid w:val="006D56B0"/>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6B"/>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98B"/>
    <w:rsid w:val="00722B72"/>
    <w:rsid w:val="00722BD3"/>
    <w:rsid w:val="00722F80"/>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62D"/>
    <w:rsid w:val="0074475B"/>
    <w:rsid w:val="00744E4F"/>
    <w:rsid w:val="0074544C"/>
    <w:rsid w:val="0074576E"/>
    <w:rsid w:val="007458E7"/>
    <w:rsid w:val="00745EBB"/>
    <w:rsid w:val="00746167"/>
    <w:rsid w:val="00746199"/>
    <w:rsid w:val="00746D90"/>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4B2"/>
    <w:rsid w:val="007864F6"/>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6A6"/>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477"/>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4B56"/>
    <w:rsid w:val="008050E9"/>
    <w:rsid w:val="008053AD"/>
    <w:rsid w:val="00805D11"/>
    <w:rsid w:val="0080656E"/>
    <w:rsid w:val="008065D0"/>
    <w:rsid w:val="0080660A"/>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5D"/>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33BB"/>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640"/>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A0C"/>
    <w:rsid w:val="00895AA1"/>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5AB1"/>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BC8"/>
    <w:rsid w:val="008C4B47"/>
    <w:rsid w:val="008C4D56"/>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988"/>
    <w:rsid w:val="008D1E23"/>
    <w:rsid w:val="008D2209"/>
    <w:rsid w:val="008D2461"/>
    <w:rsid w:val="008D2CFC"/>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2AE7"/>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BC8"/>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570"/>
    <w:rsid w:val="009156C5"/>
    <w:rsid w:val="0091610F"/>
    <w:rsid w:val="009161BA"/>
    <w:rsid w:val="0092078E"/>
    <w:rsid w:val="00920848"/>
    <w:rsid w:val="00920B0E"/>
    <w:rsid w:val="009216BF"/>
    <w:rsid w:val="009218D2"/>
    <w:rsid w:val="00921A44"/>
    <w:rsid w:val="00921A74"/>
    <w:rsid w:val="00921C9F"/>
    <w:rsid w:val="00921ED5"/>
    <w:rsid w:val="00921FA1"/>
    <w:rsid w:val="009225B6"/>
    <w:rsid w:val="00922815"/>
    <w:rsid w:val="00923151"/>
    <w:rsid w:val="009235CF"/>
    <w:rsid w:val="00923821"/>
    <w:rsid w:val="00924108"/>
    <w:rsid w:val="0092507E"/>
    <w:rsid w:val="009250C2"/>
    <w:rsid w:val="00925267"/>
    <w:rsid w:val="00925836"/>
    <w:rsid w:val="00925B5F"/>
    <w:rsid w:val="00925B66"/>
    <w:rsid w:val="00925DD1"/>
    <w:rsid w:val="009260EC"/>
    <w:rsid w:val="00926264"/>
    <w:rsid w:val="00926595"/>
    <w:rsid w:val="0092686F"/>
    <w:rsid w:val="0092698B"/>
    <w:rsid w:val="009269EB"/>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1E13"/>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8C3"/>
    <w:rsid w:val="00954E67"/>
    <w:rsid w:val="0095506D"/>
    <w:rsid w:val="009551B9"/>
    <w:rsid w:val="009555E2"/>
    <w:rsid w:val="009557DF"/>
    <w:rsid w:val="00955A2E"/>
    <w:rsid w:val="00955B1F"/>
    <w:rsid w:val="00955C57"/>
    <w:rsid w:val="00955D2B"/>
    <w:rsid w:val="00955D6A"/>
    <w:rsid w:val="00955E8D"/>
    <w:rsid w:val="00956101"/>
    <w:rsid w:val="00956957"/>
    <w:rsid w:val="009573C6"/>
    <w:rsid w:val="009573C8"/>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D29"/>
    <w:rsid w:val="00980F14"/>
    <w:rsid w:val="00981BAF"/>
    <w:rsid w:val="00981E33"/>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4E26"/>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035"/>
    <w:rsid w:val="009C19BC"/>
    <w:rsid w:val="009C19D2"/>
    <w:rsid w:val="009C1BF9"/>
    <w:rsid w:val="009C1D4B"/>
    <w:rsid w:val="009C1E0C"/>
    <w:rsid w:val="009C206F"/>
    <w:rsid w:val="009C281C"/>
    <w:rsid w:val="009C2AB0"/>
    <w:rsid w:val="009C2B1C"/>
    <w:rsid w:val="009C3D88"/>
    <w:rsid w:val="009C42A3"/>
    <w:rsid w:val="009C4B76"/>
    <w:rsid w:val="009C509F"/>
    <w:rsid w:val="009C520B"/>
    <w:rsid w:val="009C5785"/>
    <w:rsid w:val="009C5874"/>
    <w:rsid w:val="009C6768"/>
    <w:rsid w:val="009C6894"/>
    <w:rsid w:val="009C6B3B"/>
    <w:rsid w:val="009C6B7B"/>
    <w:rsid w:val="009C6E93"/>
    <w:rsid w:val="009C73C4"/>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234"/>
    <w:rsid w:val="009E2BE6"/>
    <w:rsid w:val="009E2CB8"/>
    <w:rsid w:val="009E2DD3"/>
    <w:rsid w:val="009E2EAE"/>
    <w:rsid w:val="009E2F97"/>
    <w:rsid w:val="009E3644"/>
    <w:rsid w:val="009E3790"/>
    <w:rsid w:val="009E3C31"/>
    <w:rsid w:val="009E457F"/>
    <w:rsid w:val="009E4FCC"/>
    <w:rsid w:val="009E5656"/>
    <w:rsid w:val="009E5AB4"/>
    <w:rsid w:val="009E60C7"/>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902"/>
    <w:rsid w:val="009F5CA4"/>
    <w:rsid w:val="009F6410"/>
    <w:rsid w:val="009F6457"/>
    <w:rsid w:val="009F7169"/>
    <w:rsid w:val="009F7883"/>
    <w:rsid w:val="009F79BE"/>
    <w:rsid w:val="00A0018E"/>
    <w:rsid w:val="00A004F2"/>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DC4"/>
    <w:rsid w:val="00A12EE8"/>
    <w:rsid w:val="00A131A4"/>
    <w:rsid w:val="00A13299"/>
    <w:rsid w:val="00A13715"/>
    <w:rsid w:val="00A13A66"/>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389"/>
    <w:rsid w:val="00A22664"/>
    <w:rsid w:val="00A23243"/>
    <w:rsid w:val="00A23590"/>
    <w:rsid w:val="00A23919"/>
    <w:rsid w:val="00A23921"/>
    <w:rsid w:val="00A23E0D"/>
    <w:rsid w:val="00A24002"/>
    <w:rsid w:val="00A2470A"/>
    <w:rsid w:val="00A2481C"/>
    <w:rsid w:val="00A24CCF"/>
    <w:rsid w:val="00A25296"/>
    <w:rsid w:val="00A253C6"/>
    <w:rsid w:val="00A2585A"/>
    <w:rsid w:val="00A25BD5"/>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A44"/>
    <w:rsid w:val="00A32C37"/>
    <w:rsid w:val="00A3331F"/>
    <w:rsid w:val="00A3393A"/>
    <w:rsid w:val="00A34685"/>
    <w:rsid w:val="00A34DA0"/>
    <w:rsid w:val="00A35A0B"/>
    <w:rsid w:val="00A35BD0"/>
    <w:rsid w:val="00A362CB"/>
    <w:rsid w:val="00A3651A"/>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16EF"/>
    <w:rsid w:val="00A521E0"/>
    <w:rsid w:val="00A524C8"/>
    <w:rsid w:val="00A5291D"/>
    <w:rsid w:val="00A52ED6"/>
    <w:rsid w:val="00A52EDB"/>
    <w:rsid w:val="00A532E0"/>
    <w:rsid w:val="00A53533"/>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7E"/>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A75"/>
    <w:rsid w:val="00A84EBF"/>
    <w:rsid w:val="00A85237"/>
    <w:rsid w:val="00A8523D"/>
    <w:rsid w:val="00A85661"/>
    <w:rsid w:val="00A85FFF"/>
    <w:rsid w:val="00A867E7"/>
    <w:rsid w:val="00A86F67"/>
    <w:rsid w:val="00A86FEF"/>
    <w:rsid w:val="00A8706A"/>
    <w:rsid w:val="00A87482"/>
    <w:rsid w:val="00A87771"/>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0"/>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7DE"/>
    <w:rsid w:val="00AE780C"/>
    <w:rsid w:val="00AE7992"/>
    <w:rsid w:val="00AE7BBF"/>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BD8"/>
    <w:rsid w:val="00B25E1D"/>
    <w:rsid w:val="00B25F9A"/>
    <w:rsid w:val="00B2613A"/>
    <w:rsid w:val="00B263BE"/>
    <w:rsid w:val="00B269CE"/>
    <w:rsid w:val="00B271E3"/>
    <w:rsid w:val="00B2757B"/>
    <w:rsid w:val="00B27D54"/>
    <w:rsid w:val="00B3057A"/>
    <w:rsid w:val="00B317EB"/>
    <w:rsid w:val="00B318CB"/>
    <w:rsid w:val="00B31C72"/>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1B"/>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4D50"/>
    <w:rsid w:val="00BC5181"/>
    <w:rsid w:val="00BC56C1"/>
    <w:rsid w:val="00BC5CE2"/>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0CB3"/>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5D8C"/>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7CE"/>
    <w:rsid w:val="00C20A2D"/>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01B"/>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6E67"/>
    <w:rsid w:val="00C67F34"/>
    <w:rsid w:val="00C70366"/>
    <w:rsid w:val="00C7040D"/>
    <w:rsid w:val="00C70B8C"/>
    <w:rsid w:val="00C71327"/>
    <w:rsid w:val="00C71468"/>
    <w:rsid w:val="00C723AF"/>
    <w:rsid w:val="00C723CA"/>
    <w:rsid w:val="00C7271F"/>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051"/>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3DB2"/>
    <w:rsid w:val="00CA4586"/>
    <w:rsid w:val="00CA49C0"/>
    <w:rsid w:val="00CA4A24"/>
    <w:rsid w:val="00CA4A3F"/>
    <w:rsid w:val="00CA4C14"/>
    <w:rsid w:val="00CA4F58"/>
    <w:rsid w:val="00CA51A0"/>
    <w:rsid w:val="00CA5DA3"/>
    <w:rsid w:val="00CA6164"/>
    <w:rsid w:val="00CA6734"/>
    <w:rsid w:val="00CA6BDF"/>
    <w:rsid w:val="00CB0072"/>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59CB"/>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44B7"/>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39A0"/>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E8"/>
    <w:rsid w:val="00D426FB"/>
    <w:rsid w:val="00D42B71"/>
    <w:rsid w:val="00D42D5D"/>
    <w:rsid w:val="00D43888"/>
    <w:rsid w:val="00D4429F"/>
    <w:rsid w:val="00D44A5C"/>
    <w:rsid w:val="00D45B68"/>
    <w:rsid w:val="00D466E5"/>
    <w:rsid w:val="00D467C7"/>
    <w:rsid w:val="00D4688E"/>
    <w:rsid w:val="00D46E3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387"/>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3D97"/>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4EF8"/>
    <w:rsid w:val="00D86095"/>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5B0"/>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133"/>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680"/>
    <w:rsid w:val="00DC7890"/>
    <w:rsid w:val="00DC79A3"/>
    <w:rsid w:val="00DC7E92"/>
    <w:rsid w:val="00DD02C4"/>
    <w:rsid w:val="00DD044C"/>
    <w:rsid w:val="00DD128A"/>
    <w:rsid w:val="00DD12B1"/>
    <w:rsid w:val="00DD12B5"/>
    <w:rsid w:val="00DD18BD"/>
    <w:rsid w:val="00DD1947"/>
    <w:rsid w:val="00DD1E75"/>
    <w:rsid w:val="00DD1ED7"/>
    <w:rsid w:val="00DD242B"/>
    <w:rsid w:val="00DD2DEB"/>
    <w:rsid w:val="00DD2FE5"/>
    <w:rsid w:val="00DD32DF"/>
    <w:rsid w:val="00DD3401"/>
    <w:rsid w:val="00DD3430"/>
    <w:rsid w:val="00DD3480"/>
    <w:rsid w:val="00DD3565"/>
    <w:rsid w:val="00DD430B"/>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72D7"/>
    <w:rsid w:val="00DE73EF"/>
    <w:rsid w:val="00DE752E"/>
    <w:rsid w:val="00DE7793"/>
    <w:rsid w:val="00DE7D03"/>
    <w:rsid w:val="00DE7F45"/>
    <w:rsid w:val="00DF02EC"/>
    <w:rsid w:val="00DF0820"/>
    <w:rsid w:val="00DF0D33"/>
    <w:rsid w:val="00DF0E63"/>
    <w:rsid w:val="00DF12DC"/>
    <w:rsid w:val="00DF1300"/>
    <w:rsid w:val="00DF1630"/>
    <w:rsid w:val="00DF1EB6"/>
    <w:rsid w:val="00DF1FD6"/>
    <w:rsid w:val="00DF21AF"/>
    <w:rsid w:val="00DF2412"/>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281"/>
    <w:rsid w:val="00DF6531"/>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504"/>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586"/>
    <w:rsid w:val="00E3200D"/>
    <w:rsid w:val="00E32E0E"/>
    <w:rsid w:val="00E3305B"/>
    <w:rsid w:val="00E33506"/>
    <w:rsid w:val="00E33802"/>
    <w:rsid w:val="00E33814"/>
    <w:rsid w:val="00E339C6"/>
    <w:rsid w:val="00E33B8C"/>
    <w:rsid w:val="00E33D92"/>
    <w:rsid w:val="00E33E4D"/>
    <w:rsid w:val="00E34D6F"/>
    <w:rsid w:val="00E34F08"/>
    <w:rsid w:val="00E35698"/>
    <w:rsid w:val="00E35AC2"/>
    <w:rsid w:val="00E35CDC"/>
    <w:rsid w:val="00E35EB9"/>
    <w:rsid w:val="00E35F47"/>
    <w:rsid w:val="00E3610B"/>
    <w:rsid w:val="00E363B9"/>
    <w:rsid w:val="00E36400"/>
    <w:rsid w:val="00E36AED"/>
    <w:rsid w:val="00E3702B"/>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456"/>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166"/>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4"/>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0EAB"/>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31"/>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78"/>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864"/>
    <w:rsid w:val="00F1165E"/>
    <w:rsid w:val="00F11CF5"/>
    <w:rsid w:val="00F12B3D"/>
    <w:rsid w:val="00F13242"/>
    <w:rsid w:val="00F1403E"/>
    <w:rsid w:val="00F140FE"/>
    <w:rsid w:val="00F1415B"/>
    <w:rsid w:val="00F1418D"/>
    <w:rsid w:val="00F14FB4"/>
    <w:rsid w:val="00F15CF3"/>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D7A"/>
    <w:rsid w:val="00F23FCA"/>
    <w:rsid w:val="00F2456B"/>
    <w:rsid w:val="00F2457D"/>
    <w:rsid w:val="00F24A57"/>
    <w:rsid w:val="00F24D96"/>
    <w:rsid w:val="00F24F4D"/>
    <w:rsid w:val="00F24FA0"/>
    <w:rsid w:val="00F25088"/>
    <w:rsid w:val="00F25157"/>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1DE"/>
    <w:rsid w:val="00F3521B"/>
    <w:rsid w:val="00F35561"/>
    <w:rsid w:val="00F35865"/>
    <w:rsid w:val="00F35E92"/>
    <w:rsid w:val="00F360BA"/>
    <w:rsid w:val="00F366CE"/>
    <w:rsid w:val="00F369FF"/>
    <w:rsid w:val="00F377A2"/>
    <w:rsid w:val="00F37922"/>
    <w:rsid w:val="00F37AEF"/>
    <w:rsid w:val="00F37DC6"/>
    <w:rsid w:val="00F37E70"/>
    <w:rsid w:val="00F41576"/>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410"/>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0E"/>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15E"/>
    <w:rsid w:val="00F737F5"/>
    <w:rsid w:val="00F73F43"/>
    <w:rsid w:val="00F74664"/>
    <w:rsid w:val="00F74791"/>
    <w:rsid w:val="00F747FD"/>
    <w:rsid w:val="00F74A7A"/>
    <w:rsid w:val="00F75057"/>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956"/>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60D"/>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6E07"/>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1EC0"/>
    <w:rsid w:val="00FE22FE"/>
    <w:rsid w:val="00FE2B7B"/>
    <w:rsid w:val="00FE3100"/>
    <w:rsid w:val="00FE3768"/>
    <w:rsid w:val="00FE3D47"/>
    <w:rsid w:val="00FE42C4"/>
    <w:rsid w:val="00FE47B0"/>
    <w:rsid w:val="00FE5172"/>
    <w:rsid w:val="00FE5236"/>
    <w:rsid w:val="00FE53E8"/>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erChar">
    <w:name w:val="Footer Char"/>
    <w:basedOn w:val="DefaultParagraphFont"/>
    <w:link w:val="Footer"/>
    <w:uiPriority w:val="99"/>
    <w:rsid w:val="0081555D"/>
    <w:rPr>
      <w:rFonts w:ascii="Arial"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1273709646">
          <w:marLeft w:val="547"/>
          <w:marRight w:val="0"/>
          <w:marTop w:val="115"/>
          <w:marBottom w:val="0"/>
          <w:divBdr>
            <w:top w:val="none" w:sz="0" w:space="0" w:color="auto"/>
            <w:left w:val="none" w:sz="0" w:space="0" w:color="auto"/>
            <w:bottom w:val="none" w:sz="0" w:space="0" w:color="auto"/>
            <w:right w:val="none" w:sz="0" w:space="0" w:color="auto"/>
          </w:divBdr>
        </w:div>
        <w:div w:id="260188044">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2195143">
      <w:bodyDiv w:val="1"/>
      <w:marLeft w:val="0"/>
      <w:marRight w:val="0"/>
      <w:marTop w:val="0"/>
      <w:marBottom w:val="0"/>
      <w:divBdr>
        <w:top w:val="none" w:sz="0" w:space="0" w:color="auto"/>
        <w:left w:val="none" w:sz="0" w:space="0" w:color="auto"/>
        <w:bottom w:val="none" w:sz="0" w:space="0" w:color="auto"/>
        <w:right w:val="none" w:sz="0" w:space="0" w:color="auto"/>
      </w:divBdr>
      <w:divsChild>
        <w:div w:id="6642240">
          <w:marLeft w:val="547"/>
          <w:marRight w:val="0"/>
          <w:marTop w:val="115"/>
          <w:marBottom w:val="0"/>
          <w:divBdr>
            <w:top w:val="none" w:sz="0" w:space="0" w:color="auto"/>
            <w:left w:val="none" w:sz="0" w:space="0" w:color="auto"/>
            <w:bottom w:val="none" w:sz="0" w:space="0" w:color="auto"/>
            <w:right w:val="none" w:sz="0" w:space="0" w:color="auto"/>
          </w:divBdr>
        </w:div>
        <w:div w:id="1792742455">
          <w:marLeft w:val="1166"/>
          <w:marRight w:val="0"/>
          <w:marTop w:val="96"/>
          <w:marBottom w:val="0"/>
          <w:divBdr>
            <w:top w:val="none" w:sz="0" w:space="0" w:color="auto"/>
            <w:left w:val="none" w:sz="0" w:space="0" w:color="auto"/>
            <w:bottom w:val="none" w:sz="0" w:space="0" w:color="auto"/>
            <w:right w:val="none" w:sz="0" w:space="0" w:color="auto"/>
          </w:divBdr>
        </w:div>
        <w:div w:id="38170459">
          <w:marLeft w:val="1166"/>
          <w:marRight w:val="0"/>
          <w:marTop w:val="96"/>
          <w:marBottom w:val="0"/>
          <w:divBdr>
            <w:top w:val="none" w:sz="0" w:space="0" w:color="auto"/>
            <w:left w:val="none" w:sz="0" w:space="0" w:color="auto"/>
            <w:bottom w:val="none" w:sz="0" w:space="0" w:color="auto"/>
            <w:right w:val="none" w:sz="0" w:space="0" w:color="auto"/>
          </w:divBdr>
        </w:div>
        <w:div w:id="250166333">
          <w:marLeft w:val="547"/>
          <w:marRight w:val="0"/>
          <w:marTop w:val="115"/>
          <w:marBottom w:val="0"/>
          <w:divBdr>
            <w:top w:val="none" w:sz="0" w:space="0" w:color="auto"/>
            <w:left w:val="none" w:sz="0" w:space="0" w:color="auto"/>
            <w:bottom w:val="none" w:sz="0" w:space="0" w:color="auto"/>
            <w:right w:val="none" w:sz="0" w:space="0" w:color="auto"/>
          </w:divBdr>
        </w:div>
      </w:divsChild>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37388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649749645">
          <w:marLeft w:val="547"/>
          <w:marRight w:val="0"/>
          <w:marTop w:val="106"/>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590503">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036030">
      <w:bodyDiv w:val="1"/>
      <w:marLeft w:val="0"/>
      <w:marRight w:val="0"/>
      <w:marTop w:val="0"/>
      <w:marBottom w:val="0"/>
      <w:divBdr>
        <w:top w:val="none" w:sz="0" w:space="0" w:color="auto"/>
        <w:left w:val="none" w:sz="0" w:space="0" w:color="auto"/>
        <w:bottom w:val="none" w:sz="0" w:space="0" w:color="auto"/>
        <w:right w:val="none" w:sz="0" w:space="0" w:color="auto"/>
      </w:divBdr>
      <w:divsChild>
        <w:div w:id="1420634627">
          <w:marLeft w:val="547"/>
          <w:marRight w:val="0"/>
          <w:marTop w:val="115"/>
          <w:marBottom w:val="0"/>
          <w:divBdr>
            <w:top w:val="none" w:sz="0" w:space="0" w:color="auto"/>
            <w:left w:val="none" w:sz="0" w:space="0" w:color="auto"/>
            <w:bottom w:val="none" w:sz="0" w:space="0" w:color="auto"/>
            <w:right w:val="none" w:sz="0" w:space="0" w:color="auto"/>
          </w:divBdr>
        </w:div>
        <w:div w:id="1702778490">
          <w:marLeft w:val="1166"/>
          <w:marRight w:val="0"/>
          <w:marTop w:val="96"/>
          <w:marBottom w:val="0"/>
          <w:divBdr>
            <w:top w:val="none" w:sz="0" w:space="0" w:color="auto"/>
            <w:left w:val="none" w:sz="0" w:space="0" w:color="auto"/>
            <w:bottom w:val="none" w:sz="0" w:space="0" w:color="auto"/>
            <w:right w:val="none" w:sz="0" w:space="0" w:color="auto"/>
          </w:divBdr>
        </w:div>
        <w:div w:id="1622957450">
          <w:marLeft w:val="547"/>
          <w:marRight w:val="0"/>
          <w:marTop w:val="115"/>
          <w:marBottom w:val="0"/>
          <w:divBdr>
            <w:top w:val="none" w:sz="0" w:space="0" w:color="auto"/>
            <w:left w:val="none" w:sz="0" w:space="0" w:color="auto"/>
            <w:bottom w:val="none" w:sz="0" w:space="0" w:color="auto"/>
            <w:right w:val="none" w:sz="0" w:space="0" w:color="auto"/>
          </w:divBdr>
        </w:div>
        <w:div w:id="1129977730">
          <w:marLeft w:val="1166"/>
          <w:marRight w:val="0"/>
          <w:marTop w:val="96"/>
          <w:marBottom w:val="0"/>
          <w:divBdr>
            <w:top w:val="none" w:sz="0" w:space="0" w:color="auto"/>
            <w:left w:val="none" w:sz="0" w:space="0" w:color="auto"/>
            <w:bottom w:val="none" w:sz="0" w:space="0" w:color="auto"/>
            <w:right w:val="none" w:sz="0" w:space="0" w:color="auto"/>
          </w:divBdr>
        </w:div>
        <w:div w:id="681319918">
          <w:marLeft w:val="1627"/>
          <w:marRight w:val="0"/>
          <w:marTop w:val="86"/>
          <w:marBottom w:val="0"/>
          <w:divBdr>
            <w:top w:val="none" w:sz="0" w:space="0" w:color="auto"/>
            <w:left w:val="none" w:sz="0" w:space="0" w:color="auto"/>
            <w:bottom w:val="none" w:sz="0" w:space="0" w:color="auto"/>
            <w:right w:val="none" w:sz="0" w:space="0" w:color="auto"/>
          </w:divBdr>
        </w:div>
        <w:div w:id="2076584848">
          <w:marLeft w:val="1166"/>
          <w:marRight w:val="0"/>
          <w:marTop w:val="96"/>
          <w:marBottom w:val="0"/>
          <w:divBdr>
            <w:top w:val="none" w:sz="0" w:space="0" w:color="auto"/>
            <w:left w:val="none" w:sz="0" w:space="0" w:color="auto"/>
            <w:bottom w:val="none" w:sz="0" w:space="0" w:color="auto"/>
            <w:right w:val="none" w:sz="0" w:space="0" w:color="auto"/>
          </w:divBdr>
        </w:div>
        <w:div w:id="537669845">
          <w:marLeft w:val="1627"/>
          <w:marRight w:val="0"/>
          <w:marTop w:val="86"/>
          <w:marBottom w:val="0"/>
          <w:divBdr>
            <w:top w:val="none" w:sz="0" w:space="0" w:color="auto"/>
            <w:left w:val="none" w:sz="0" w:space="0" w:color="auto"/>
            <w:bottom w:val="none" w:sz="0" w:space="0" w:color="auto"/>
            <w:right w:val="none" w:sz="0" w:space="0" w:color="auto"/>
          </w:divBdr>
        </w:div>
        <w:div w:id="1658918781">
          <w:marLeft w:val="1627"/>
          <w:marRight w:val="0"/>
          <w:marTop w:val="86"/>
          <w:marBottom w:val="0"/>
          <w:divBdr>
            <w:top w:val="none" w:sz="0" w:space="0" w:color="auto"/>
            <w:left w:val="none" w:sz="0" w:space="0" w:color="auto"/>
            <w:bottom w:val="none" w:sz="0" w:space="0" w:color="auto"/>
            <w:right w:val="none" w:sz="0" w:space="0" w:color="auto"/>
          </w:divBdr>
        </w:div>
        <w:div w:id="1671323683">
          <w:marLeft w:val="547"/>
          <w:marRight w:val="0"/>
          <w:marTop w:val="115"/>
          <w:marBottom w:val="0"/>
          <w:divBdr>
            <w:top w:val="none" w:sz="0" w:space="0" w:color="auto"/>
            <w:left w:val="none" w:sz="0" w:space="0" w:color="auto"/>
            <w:bottom w:val="none" w:sz="0" w:space="0" w:color="auto"/>
            <w:right w:val="none" w:sz="0" w:space="0" w:color="auto"/>
          </w:divBdr>
        </w:div>
        <w:div w:id="465204912">
          <w:marLeft w:val="1166"/>
          <w:marRight w:val="0"/>
          <w:marTop w:val="96"/>
          <w:marBottom w:val="0"/>
          <w:divBdr>
            <w:top w:val="none" w:sz="0" w:space="0" w:color="auto"/>
            <w:left w:val="none" w:sz="0" w:space="0" w:color="auto"/>
            <w:bottom w:val="none" w:sz="0" w:space="0" w:color="auto"/>
            <w:right w:val="none" w:sz="0" w:space="0" w:color="auto"/>
          </w:divBdr>
        </w:div>
        <w:div w:id="1883516388">
          <w:marLeft w:val="1166"/>
          <w:marRight w:val="0"/>
          <w:marTop w:val="96"/>
          <w:marBottom w:val="0"/>
          <w:divBdr>
            <w:top w:val="none" w:sz="0" w:space="0" w:color="auto"/>
            <w:left w:val="none" w:sz="0" w:space="0" w:color="auto"/>
            <w:bottom w:val="none" w:sz="0" w:space="0" w:color="auto"/>
            <w:right w:val="none" w:sz="0" w:space="0" w:color="auto"/>
          </w:divBdr>
        </w:div>
        <w:div w:id="1922132981">
          <w:marLeft w:val="1166"/>
          <w:marRight w:val="0"/>
          <w:marTop w:val="96"/>
          <w:marBottom w:val="0"/>
          <w:divBdr>
            <w:top w:val="none" w:sz="0" w:space="0" w:color="auto"/>
            <w:left w:val="none" w:sz="0" w:space="0" w:color="auto"/>
            <w:bottom w:val="none" w:sz="0" w:space="0" w:color="auto"/>
            <w:right w:val="none" w:sz="0" w:space="0" w:color="auto"/>
          </w:divBdr>
        </w:div>
        <w:div w:id="132231">
          <w:marLeft w:val="1166"/>
          <w:marRight w:val="0"/>
          <w:marTop w:val="9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659464">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4154477">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5406527">
      <w:bodyDiv w:val="1"/>
      <w:marLeft w:val="0"/>
      <w:marRight w:val="0"/>
      <w:marTop w:val="0"/>
      <w:marBottom w:val="0"/>
      <w:divBdr>
        <w:top w:val="none" w:sz="0" w:space="0" w:color="auto"/>
        <w:left w:val="none" w:sz="0" w:space="0" w:color="auto"/>
        <w:bottom w:val="none" w:sz="0" w:space="0" w:color="auto"/>
        <w:right w:val="none" w:sz="0" w:space="0" w:color="auto"/>
      </w:divBdr>
      <w:divsChild>
        <w:div w:id="1173837065">
          <w:marLeft w:val="547"/>
          <w:marRight w:val="0"/>
          <w:marTop w:val="115"/>
          <w:marBottom w:val="0"/>
          <w:divBdr>
            <w:top w:val="none" w:sz="0" w:space="0" w:color="auto"/>
            <w:left w:val="none" w:sz="0" w:space="0" w:color="auto"/>
            <w:bottom w:val="none" w:sz="0" w:space="0" w:color="auto"/>
            <w:right w:val="none" w:sz="0" w:space="0" w:color="auto"/>
          </w:divBdr>
        </w:div>
        <w:div w:id="879246299">
          <w:marLeft w:val="1166"/>
          <w:marRight w:val="0"/>
          <w:marTop w:val="96"/>
          <w:marBottom w:val="0"/>
          <w:divBdr>
            <w:top w:val="none" w:sz="0" w:space="0" w:color="auto"/>
            <w:left w:val="none" w:sz="0" w:space="0" w:color="auto"/>
            <w:bottom w:val="none" w:sz="0" w:space="0" w:color="auto"/>
            <w:right w:val="none" w:sz="0" w:space="0" w:color="auto"/>
          </w:divBdr>
        </w:div>
        <w:div w:id="1774009913">
          <w:marLeft w:val="547"/>
          <w:marRight w:val="0"/>
          <w:marTop w:val="115"/>
          <w:marBottom w:val="0"/>
          <w:divBdr>
            <w:top w:val="none" w:sz="0" w:space="0" w:color="auto"/>
            <w:left w:val="none" w:sz="0" w:space="0" w:color="auto"/>
            <w:bottom w:val="none" w:sz="0" w:space="0" w:color="auto"/>
            <w:right w:val="none" w:sz="0" w:space="0" w:color="auto"/>
          </w:divBdr>
        </w:div>
        <w:div w:id="285087810">
          <w:marLeft w:val="1166"/>
          <w:marRight w:val="0"/>
          <w:marTop w:val="96"/>
          <w:marBottom w:val="0"/>
          <w:divBdr>
            <w:top w:val="none" w:sz="0" w:space="0" w:color="auto"/>
            <w:left w:val="none" w:sz="0" w:space="0" w:color="auto"/>
            <w:bottom w:val="none" w:sz="0" w:space="0" w:color="auto"/>
            <w:right w:val="none" w:sz="0" w:space="0" w:color="auto"/>
          </w:divBdr>
        </w:div>
        <w:div w:id="2141224860">
          <w:marLeft w:val="1627"/>
          <w:marRight w:val="0"/>
          <w:marTop w:val="86"/>
          <w:marBottom w:val="0"/>
          <w:divBdr>
            <w:top w:val="none" w:sz="0" w:space="0" w:color="auto"/>
            <w:left w:val="none" w:sz="0" w:space="0" w:color="auto"/>
            <w:bottom w:val="none" w:sz="0" w:space="0" w:color="auto"/>
            <w:right w:val="none" w:sz="0" w:space="0" w:color="auto"/>
          </w:divBdr>
        </w:div>
        <w:div w:id="1453405527">
          <w:marLeft w:val="1166"/>
          <w:marRight w:val="0"/>
          <w:marTop w:val="96"/>
          <w:marBottom w:val="0"/>
          <w:divBdr>
            <w:top w:val="none" w:sz="0" w:space="0" w:color="auto"/>
            <w:left w:val="none" w:sz="0" w:space="0" w:color="auto"/>
            <w:bottom w:val="none" w:sz="0" w:space="0" w:color="auto"/>
            <w:right w:val="none" w:sz="0" w:space="0" w:color="auto"/>
          </w:divBdr>
        </w:div>
        <w:div w:id="37780075">
          <w:marLeft w:val="1627"/>
          <w:marRight w:val="0"/>
          <w:marTop w:val="86"/>
          <w:marBottom w:val="0"/>
          <w:divBdr>
            <w:top w:val="none" w:sz="0" w:space="0" w:color="auto"/>
            <w:left w:val="none" w:sz="0" w:space="0" w:color="auto"/>
            <w:bottom w:val="none" w:sz="0" w:space="0" w:color="auto"/>
            <w:right w:val="none" w:sz="0" w:space="0" w:color="auto"/>
          </w:divBdr>
        </w:div>
        <w:div w:id="263806707">
          <w:marLeft w:val="1627"/>
          <w:marRight w:val="0"/>
          <w:marTop w:val="86"/>
          <w:marBottom w:val="0"/>
          <w:divBdr>
            <w:top w:val="none" w:sz="0" w:space="0" w:color="auto"/>
            <w:left w:val="none" w:sz="0" w:space="0" w:color="auto"/>
            <w:bottom w:val="none" w:sz="0" w:space="0" w:color="auto"/>
            <w:right w:val="none" w:sz="0" w:space="0" w:color="auto"/>
          </w:divBdr>
        </w:div>
        <w:div w:id="698968616">
          <w:marLeft w:val="547"/>
          <w:marRight w:val="0"/>
          <w:marTop w:val="115"/>
          <w:marBottom w:val="0"/>
          <w:divBdr>
            <w:top w:val="none" w:sz="0" w:space="0" w:color="auto"/>
            <w:left w:val="none" w:sz="0" w:space="0" w:color="auto"/>
            <w:bottom w:val="none" w:sz="0" w:space="0" w:color="auto"/>
            <w:right w:val="none" w:sz="0" w:space="0" w:color="auto"/>
          </w:divBdr>
        </w:div>
        <w:div w:id="1662074220">
          <w:marLeft w:val="1166"/>
          <w:marRight w:val="0"/>
          <w:marTop w:val="96"/>
          <w:marBottom w:val="0"/>
          <w:divBdr>
            <w:top w:val="none" w:sz="0" w:space="0" w:color="auto"/>
            <w:left w:val="none" w:sz="0" w:space="0" w:color="auto"/>
            <w:bottom w:val="none" w:sz="0" w:space="0" w:color="auto"/>
            <w:right w:val="none" w:sz="0" w:space="0" w:color="auto"/>
          </w:divBdr>
        </w:div>
        <w:div w:id="915629483">
          <w:marLeft w:val="1166"/>
          <w:marRight w:val="0"/>
          <w:marTop w:val="96"/>
          <w:marBottom w:val="0"/>
          <w:divBdr>
            <w:top w:val="none" w:sz="0" w:space="0" w:color="auto"/>
            <w:left w:val="none" w:sz="0" w:space="0" w:color="auto"/>
            <w:bottom w:val="none" w:sz="0" w:space="0" w:color="auto"/>
            <w:right w:val="none" w:sz="0" w:space="0" w:color="auto"/>
          </w:divBdr>
        </w:div>
        <w:div w:id="1925533757">
          <w:marLeft w:val="1166"/>
          <w:marRight w:val="0"/>
          <w:marTop w:val="96"/>
          <w:marBottom w:val="0"/>
          <w:divBdr>
            <w:top w:val="none" w:sz="0" w:space="0" w:color="auto"/>
            <w:left w:val="none" w:sz="0" w:space="0" w:color="auto"/>
            <w:bottom w:val="none" w:sz="0" w:space="0" w:color="auto"/>
            <w:right w:val="none" w:sz="0" w:space="0" w:color="auto"/>
          </w:divBdr>
        </w:div>
        <w:div w:id="907494353">
          <w:marLeft w:val="1166"/>
          <w:marRight w:val="0"/>
          <w:marTop w:val="96"/>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9179333">
      <w:bodyDiv w:val="1"/>
      <w:marLeft w:val="0"/>
      <w:marRight w:val="0"/>
      <w:marTop w:val="0"/>
      <w:marBottom w:val="0"/>
      <w:divBdr>
        <w:top w:val="none" w:sz="0" w:space="0" w:color="auto"/>
        <w:left w:val="none" w:sz="0" w:space="0" w:color="auto"/>
        <w:bottom w:val="none" w:sz="0" w:space="0" w:color="auto"/>
        <w:right w:val="none" w:sz="0" w:space="0" w:color="auto"/>
      </w:divBdr>
      <w:divsChild>
        <w:div w:id="608776937">
          <w:marLeft w:val="547"/>
          <w:marRight w:val="0"/>
          <w:marTop w:val="115"/>
          <w:marBottom w:val="0"/>
          <w:divBdr>
            <w:top w:val="none" w:sz="0" w:space="0" w:color="auto"/>
            <w:left w:val="none" w:sz="0" w:space="0" w:color="auto"/>
            <w:bottom w:val="none" w:sz="0" w:space="0" w:color="auto"/>
            <w:right w:val="none" w:sz="0" w:space="0" w:color="auto"/>
          </w:divBdr>
        </w:div>
        <w:div w:id="215121712">
          <w:marLeft w:val="547"/>
          <w:marRight w:val="0"/>
          <w:marTop w:val="115"/>
          <w:marBottom w:val="0"/>
          <w:divBdr>
            <w:top w:val="none" w:sz="0" w:space="0" w:color="auto"/>
            <w:left w:val="none" w:sz="0" w:space="0" w:color="auto"/>
            <w:bottom w:val="none" w:sz="0" w:space="0" w:color="auto"/>
            <w:right w:val="none" w:sz="0" w:space="0" w:color="auto"/>
          </w:divBdr>
        </w:div>
        <w:div w:id="2032755608">
          <w:marLeft w:val="1166"/>
          <w:marRight w:val="0"/>
          <w:marTop w:val="96"/>
          <w:marBottom w:val="0"/>
          <w:divBdr>
            <w:top w:val="none" w:sz="0" w:space="0" w:color="auto"/>
            <w:left w:val="none" w:sz="0" w:space="0" w:color="auto"/>
            <w:bottom w:val="none" w:sz="0" w:space="0" w:color="auto"/>
            <w:right w:val="none" w:sz="0" w:space="0" w:color="auto"/>
          </w:divBdr>
        </w:div>
        <w:div w:id="697656491">
          <w:marLeft w:val="1627"/>
          <w:marRight w:val="0"/>
          <w:marTop w:val="86"/>
          <w:marBottom w:val="0"/>
          <w:divBdr>
            <w:top w:val="none" w:sz="0" w:space="0" w:color="auto"/>
            <w:left w:val="none" w:sz="0" w:space="0" w:color="auto"/>
            <w:bottom w:val="none" w:sz="0" w:space="0" w:color="auto"/>
            <w:right w:val="none" w:sz="0" w:space="0" w:color="auto"/>
          </w:divBdr>
        </w:div>
        <w:div w:id="1721979944">
          <w:marLeft w:val="547"/>
          <w:marRight w:val="0"/>
          <w:marTop w:val="115"/>
          <w:marBottom w:val="0"/>
          <w:divBdr>
            <w:top w:val="none" w:sz="0" w:space="0" w:color="auto"/>
            <w:left w:val="none" w:sz="0" w:space="0" w:color="auto"/>
            <w:bottom w:val="none" w:sz="0" w:space="0" w:color="auto"/>
            <w:right w:val="none" w:sz="0" w:space="0" w:color="auto"/>
          </w:divBdr>
        </w:div>
        <w:div w:id="600572695">
          <w:marLeft w:val="1166"/>
          <w:marRight w:val="0"/>
          <w:marTop w:val="96"/>
          <w:marBottom w:val="0"/>
          <w:divBdr>
            <w:top w:val="none" w:sz="0" w:space="0" w:color="auto"/>
            <w:left w:val="none" w:sz="0" w:space="0" w:color="auto"/>
            <w:bottom w:val="none" w:sz="0" w:space="0" w:color="auto"/>
            <w:right w:val="none" w:sz="0" w:space="0" w:color="auto"/>
          </w:divBdr>
        </w:div>
        <w:div w:id="1105199747">
          <w:marLeft w:val="1627"/>
          <w:marRight w:val="0"/>
          <w:marTop w:val="86"/>
          <w:marBottom w:val="0"/>
          <w:divBdr>
            <w:top w:val="none" w:sz="0" w:space="0" w:color="auto"/>
            <w:left w:val="none" w:sz="0" w:space="0" w:color="auto"/>
            <w:bottom w:val="none" w:sz="0" w:space="0" w:color="auto"/>
            <w:right w:val="none" w:sz="0" w:space="0" w:color="auto"/>
          </w:divBdr>
        </w:div>
        <w:div w:id="1067412729">
          <w:marLeft w:val="1627"/>
          <w:marRight w:val="0"/>
          <w:marTop w:val="86"/>
          <w:marBottom w:val="0"/>
          <w:divBdr>
            <w:top w:val="none" w:sz="0" w:space="0" w:color="auto"/>
            <w:left w:val="none" w:sz="0" w:space="0" w:color="auto"/>
            <w:bottom w:val="none" w:sz="0" w:space="0" w:color="auto"/>
            <w:right w:val="none" w:sz="0" w:space="0" w:color="auto"/>
          </w:divBdr>
        </w:div>
        <w:div w:id="114761588">
          <w:marLeft w:val="1166"/>
          <w:marRight w:val="0"/>
          <w:marTop w:val="96"/>
          <w:marBottom w:val="0"/>
          <w:divBdr>
            <w:top w:val="none" w:sz="0" w:space="0" w:color="auto"/>
            <w:left w:val="none" w:sz="0" w:space="0" w:color="auto"/>
            <w:bottom w:val="none" w:sz="0" w:space="0" w:color="auto"/>
            <w:right w:val="none" w:sz="0" w:space="0" w:color="auto"/>
          </w:divBdr>
        </w:div>
        <w:div w:id="770469519">
          <w:marLeft w:val="1627"/>
          <w:marRight w:val="0"/>
          <w:marTop w:val="86"/>
          <w:marBottom w:val="0"/>
          <w:divBdr>
            <w:top w:val="none" w:sz="0" w:space="0" w:color="auto"/>
            <w:left w:val="none" w:sz="0" w:space="0" w:color="auto"/>
            <w:bottom w:val="none" w:sz="0" w:space="0" w:color="auto"/>
            <w:right w:val="none" w:sz="0" w:space="0" w:color="auto"/>
          </w:divBdr>
        </w:div>
        <w:div w:id="1185169486">
          <w:marLeft w:val="1627"/>
          <w:marRight w:val="0"/>
          <w:marTop w:val="86"/>
          <w:marBottom w:val="0"/>
          <w:divBdr>
            <w:top w:val="none" w:sz="0" w:space="0" w:color="auto"/>
            <w:left w:val="none" w:sz="0" w:space="0" w:color="auto"/>
            <w:bottom w:val="none" w:sz="0" w:space="0" w:color="auto"/>
            <w:right w:val="none" w:sz="0" w:space="0" w:color="auto"/>
          </w:divBdr>
        </w:div>
        <w:div w:id="858471261">
          <w:marLeft w:val="2074"/>
          <w:marRight w:val="0"/>
          <w:marTop w:val="77"/>
          <w:marBottom w:val="0"/>
          <w:divBdr>
            <w:top w:val="none" w:sz="0" w:space="0" w:color="auto"/>
            <w:left w:val="none" w:sz="0" w:space="0" w:color="auto"/>
            <w:bottom w:val="none" w:sz="0" w:space="0" w:color="auto"/>
            <w:right w:val="none" w:sz="0" w:space="0" w:color="auto"/>
          </w:divBdr>
        </w:div>
        <w:div w:id="111482863">
          <w:marLeft w:val="1166"/>
          <w:marRight w:val="0"/>
          <w:marTop w:val="96"/>
          <w:marBottom w:val="0"/>
          <w:divBdr>
            <w:top w:val="none" w:sz="0" w:space="0" w:color="auto"/>
            <w:left w:val="none" w:sz="0" w:space="0" w:color="auto"/>
            <w:bottom w:val="none" w:sz="0" w:space="0" w:color="auto"/>
            <w:right w:val="none" w:sz="0" w:space="0" w:color="auto"/>
          </w:divBdr>
        </w:div>
        <w:div w:id="1549412935">
          <w:marLeft w:val="1627"/>
          <w:marRight w:val="0"/>
          <w:marTop w:val="86"/>
          <w:marBottom w:val="0"/>
          <w:divBdr>
            <w:top w:val="none" w:sz="0" w:space="0" w:color="auto"/>
            <w:left w:val="none" w:sz="0" w:space="0" w:color="auto"/>
            <w:bottom w:val="none" w:sz="0" w:space="0" w:color="auto"/>
            <w:right w:val="none" w:sz="0" w:space="0" w:color="auto"/>
          </w:divBdr>
        </w:div>
        <w:div w:id="2065250644">
          <w:marLeft w:val="1627"/>
          <w:marRight w:val="0"/>
          <w:marTop w:val="86"/>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5141265">
      <w:bodyDiv w:val="1"/>
      <w:marLeft w:val="0"/>
      <w:marRight w:val="0"/>
      <w:marTop w:val="0"/>
      <w:marBottom w:val="0"/>
      <w:divBdr>
        <w:top w:val="none" w:sz="0" w:space="0" w:color="auto"/>
        <w:left w:val="none" w:sz="0" w:space="0" w:color="auto"/>
        <w:bottom w:val="none" w:sz="0" w:space="0" w:color="auto"/>
        <w:right w:val="none" w:sz="0" w:space="0" w:color="auto"/>
      </w:divBdr>
      <w:divsChild>
        <w:div w:id="1826896200">
          <w:marLeft w:val="1166"/>
          <w:marRight w:val="0"/>
          <w:marTop w:val="96"/>
          <w:marBottom w:val="0"/>
          <w:divBdr>
            <w:top w:val="none" w:sz="0" w:space="0" w:color="auto"/>
            <w:left w:val="none" w:sz="0" w:space="0" w:color="auto"/>
            <w:bottom w:val="none" w:sz="0" w:space="0" w:color="auto"/>
            <w:right w:val="none" w:sz="0" w:space="0" w:color="auto"/>
          </w:divBdr>
        </w:div>
        <w:div w:id="1790663028">
          <w:marLeft w:val="1627"/>
          <w:marRight w:val="0"/>
          <w:marTop w:val="86"/>
          <w:marBottom w:val="0"/>
          <w:divBdr>
            <w:top w:val="none" w:sz="0" w:space="0" w:color="auto"/>
            <w:left w:val="none" w:sz="0" w:space="0" w:color="auto"/>
            <w:bottom w:val="none" w:sz="0" w:space="0" w:color="auto"/>
            <w:right w:val="none" w:sz="0" w:space="0" w:color="auto"/>
          </w:divBdr>
        </w:div>
        <w:div w:id="1826243472">
          <w:marLeft w:val="1627"/>
          <w:marRight w:val="0"/>
          <w:marTop w:val="86"/>
          <w:marBottom w:val="0"/>
          <w:divBdr>
            <w:top w:val="none" w:sz="0" w:space="0" w:color="auto"/>
            <w:left w:val="none" w:sz="0" w:space="0" w:color="auto"/>
            <w:bottom w:val="none" w:sz="0" w:space="0" w:color="auto"/>
            <w:right w:val="none" w:sz="0" w:space="0" w:color="auto"/>
          </w:divBdr>
        </w:div>
        <w:div w:id="826676089">
          <w:marLeft w:val="1166"/>
          <w:marRight w:val="0"/>
          <w:marTop w:val="96"/>
          <w:marBottom w:val="0"/>
          <w:divBdr>
            <w:top w:val="none" w:sz="0" w:space="0" w:color="auto"/>
            <w:left w:val="none" w:sz="0" w:space="0" w:color="auto"/>
            <w:bottom w:val="none" w:sz="0" w:space="0" w:color="auto"/>
            <w:right w:val="none" w:sz="0" w:space="0" w:color="auto"/>
          </w:divBdr>
        </w:div>
        <w:div w:id="309676008">
          <w:marLeft w:val="1627"/>
          <w:marRight w:val="0"/>
          <w:marTop w:val="86"/>
          <w:marBottom w:val="0"/>
          <w:divBdr>
            <w:top w:val="none" w:sz="0" w:space="0" w:color="auto"/>
            <w:left w:val="none" w:sz="0" w:space="0" w:color="auto"/>
            <w:bottom w:val="none" w:sz="0" w:space="0" w:color="auto"/>
            <w:right w:val="none" w:sz="0" w:space="0" w:color="auto"/>
          </w:divBdr>
        </w:div>
        <w:div w:id="1777871220">
          <w:marLeft w:val="1627"/>
          <w:marRight w:val="0"/>
          <w:marTop w:val="86"/>
          <w:marBottom w:val="0"/>
          <w:divBdr>
            <w:top w:val="none" w:sz="0" w:space="0" w:color="auto"/>
            <w:left w:val="none" w:sz="0" w:space="0" w:color="auto"/>
            <w:bottom w:val="none" w:sz="0" w:space="0" w:color="auto"/>
            <w:right w:val="none" w:sz="0" w:space="0" w:color="auto"/>
          </w:divBdr>
        </w:div>
        <w:div w:id="595872497">
          <w:marLeft w:val="2074"/>
          <w:marRight w:val="0"/>
          <w:marTop w:val="77"/>
          <w:marBottom w:val="0"/>
          <w:divBdr>
            <w:top w:val="none" w:sz="0" w:space="0" w:color="auto"/>
            <w:left w:val="none" w:sz="0" w:space="0" w:color="auto"/>
            <w:bottom w:val="none" w:sz="0" w:space="0" w:color="auto"/>
            <w:right w:val="none" w:sz="0" w:space="0" w:color="auto"/>
          </w:divBdr>
        </w:div>
        <w:div w:id="1763985709">
          <w:marLeft w:val="2520"/>
          <w:marRight w:val="0"/>
          <w:marTop w:val="67"/>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304050051">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6897756">
      <w:bodyDiv w:val="1"/>
      <w:marLeft w:val="0"/>
      <w:marRight w:val="0"/>
      <w:marTop w:val="0"/>
      <w:marBottom w:val="0"/>
      <w:divBdr>
        <w:top w:val="none" w:sz="0" w:space="0" w:color="auto"/>
        <w:left w:val="none" w:sz="0" w:space="0" w:color="auto"/>
        <w:bottom w:val="none" w:sz="0" w:space="0" w:color="auto"/>
        <w:right w:val="none" w:sz="0" w:space="0" w:color="auto"/>
      </w:divBdr>
      <w:divsChild>
        <w:div w:id="1020231415">
          <w:marLeft w:val="547"/>
          <w:marRight w:val="0"/>
          <w:marTop w:val="115"/>
          <w:marBottom w:val="0"/>
          <w:divBdr>
            <w:top w:val="none" w:sz="0" w:space="0" w:color="auto"/>
            <w:left w:val="none" w:sz="0" w:space="0" w:color="auto"/>
            <w:bottom w:val="none" w:sz="0" w:space="0" w:color="auto"/>
            <w:right w:val="none" w:sz="0" w:space="0" w:color="auto"/>
          </w:divBdr>
        </w:div>
        <w:div w:id="1446120043">
          <w:marLeft w:val="1166"/>
          <w:marRight w:val="0"/>
          <w:marTop w:val="96"/>
          <w:marBottom w:val="0"/>
          <w:divBdr>
            <w:top w:val="none" w:sz="0" w:space="0" w:color="auto"/>
            <w:left w:val="none" w:sz="0" w:space="0" w:color="auto"/>
            <w:bottom w:val="none" w:sz="0" w:space="0" w:color="auto"/>
            <w:right w:val="none" w:sz="0" w:space="0" w:color="auto"/>
          </w:divBdr>
        </w:div>
        <w:div w:id="1691490057">
          <w:marLeft w:val="1627"/>
          <w:marRight w:val="0"/>
          <w:marTop w:val="86"/>
          <w:marBottom w:val="0"/>
          <w:divBdr>
            <w:top w:val="none" w:sz="0" w:space="0" w:color="auto"/>
            <w:left w:val="none" w:sz="0" w:space="0" w:color="auto"/>
            <w:bottom w:val="none" w:sz="0" w:space="0" w:color="auto"/>
            <w:right w:val="none" w:sz="0" w:space="0" w:color="auto"/>
          </w:divBdr>
        </w:div>
        <w:div w:id="1871140935">
          <w:marLeft w:val="1627"/>
          <w:marRight w:val="0"/>
          <w:marTop w:val="86"/>
          <w:marBottom w:val="0"/>
          <w:divBdr>
            <w:top w:val="none" w:sz="0" w:space="0" w:color="auto"/>
            <w:left w:val="none" w:sz="0" w:space="0" w:color="auto"/>
            <w:bottom w:val="none" w:sz="0" w:space="0" w:color="auto"/>
            <w:right w:val="none" w:sz="0" w:space="0" w:color="auto"/>
          </w:divBdr>
        </w:div>
        <w:div w:id="1577785138">
          <w:marLeft w:val="1627"/>
          <w:marRight w:val="0"/>
          <w:marTop w:val="86"/>
          <w:marBottom w:val="0"/>
          <w:divBdr>
            <w:top w:val="none" w:sz="0" w:space="0" w:color="auto"/>
            <w:left w:val="none" w:sz="0" w:space="0" w:color="auto"/>
            <w:bottom w:val="none" w:sz="0" w:space="0" w:color="auto"/>
            <w:right w:val="none" w:sz="0" w:space="0" w:color="auto"/>
          </w:divBdr>
        </w:div>
        <w:div w:id="336428114">
          <w:marLeft w:val="1627"/>
          <w:marRight w:val="0"/>
          <w:marTop w:val="86"/>
          <w:marBottom w:val="0"/>
          <w:divBdr>
            <w:top w:val="none" w:sz="0" w:space="0" w:color="auto"/>
            <w:left w:val="none" w:sz="0" w:space="0" w:color="auto"/>
            <w:bottom w:val="none" w:sz="0" w:space="0" w:color="auto"/>
            <w:right w:val="none" w:sz="0" w:space="0" w:color="auto"/>
          </w:divBdr>
        </w:div>
        <w:div w:id="1623421205">
          <w:marLeft w:val="1166"/>
          <w:marRight w:val="0"/>
          <w:marTop w:val="96"/>
          <w:marBottom w:val="0"/>
          <w:divBdr>
            <w:top w:val="none" w:sz="0" w:space="0" w:color="auto"/>
            <w:left w:val="none" w:sz="0" w:space="0" w:color="auto"/>
            <w:bottom w:val="none" w:sz="0" w:space="0" w:color="auto"/>
            <w:right w:val="none" w:sz="0" w:space="0" w:color="auto"/>
          </w:divBdr>
        </w:div>
        <w:div w:id="1144472049">
          <w:marLeft w:val="547"/>
          <w:marRight w:val="0"/>
          <w:marTop w:val="115"/>
          <w:marBottom w:val="0"/>
          <w:divBdr>
            <w:top w:val="none" w:sz="0" w:space="0" w:color="auto"/>
            <w:left w:val="none" w:sz="0" w:space="0" w:color="auto"/>
            <w:bottom w:val="none" w:sz="0" w:space="0" w:color="auto"/>
            <w:right w:val="none" w:sz="0" w:space="0" w:color="auto"/>
          </w:divBdr>
        </w:div>
      </w:divsChild>
    </w:div>
    <w:div w:id="179798536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2050182183">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905385171">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5.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HR33RHYHUWRF-4-2173</_dlc_DocId>
    <_dlc_DocIdUrl xmlns="c06861ca-3f08-4d07-bff7-bb15bac121f4">
      <Url>https://projects.qualcomm.com/sites/pentari/_layouts/15/DocIdRedir.aspx?ID=HR33RHYHUWRF-4-2173</Url>
      <Description>HR33RHYHUWRF-4-2173</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D3FB420-EBB5-43B6-A847-6A5AD87AC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342</TotalTime>
  <Pages>6</Pages>
  <Words>1180</Words>
  <Characters>6729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L1 Broadcast Control Channel</vt:lpstr>
    </vt:vector>
  </TitlesOfParts>
  <Company>Qualcomm Inc.</Company>
  <LinksUpToDate>false</LinksUpToDate>
  <CharactersWithSpaces>7894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L1 Broadcast Control Channel</dc:title>
  <dc:subject/>
  <dc:creator>Qualcomm Inc.</dc:creator>
  <cp:keywords/>
  <cp:lastModifiedBy>Heechoon Lee</cp:lastModifiedBy>
  <cp:revision>19</cp:revision>
  <cp:lastPrinted>2014-11-07T05:38:00Z</cp:lastPrinted>
  <dcterms:created xsi:type="dcterms:W3CDTF">2017-02-07T06:00:00Z</dcterms:created>
  <dcterms:modified xsi:type="dcterms:W3CDTF">2017-03-25T04:06:00Z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-435258076</vt:i4>
  </property>
  <property fmtid="{D5CDD505-2E9C-101B-9397-08002B2CF9AE}" pid="3" name="_NewReviewCycle">
    <vt:lpwstr/>
  </property>
  <property fmtid="{D5CDD505-2E9C-101B-9397-08002B2CF9AE}" pid="4" name="_EmailSubject">
    <vt:lpwstr>Control channel contributions for RAN1#87</vt:lpwstr>
  </property>
  <property fmtid="{D5CDD505-2E9C-101B-9397-08002B2CF9AE}" pid="5" name="_AuthorEmail">
    <vt:lpwstr>jingsun@qti.qualcomm.com</vt:lpwstr>
  </property>
  <property fmtid="{D5CDD505-2E9C-101B-9397-08002B2CF9AE}" pid="6" name="_AuthorEmailDisplayName">
    <vt:lpwstr>Sun, Jing</vt:lpwstr>
  </property>
  <property fmtid="{D5CDD505-2E9C-101B-9397-08002B2CF9AE}" pid="7" name="_PreviousAdHocReviewCycleID">
    <vt:i4>1811412881</vt:i4>
  </property>
  <property fmtid="{D5CDD505-2E9C-101B-9397-08002B2CF9AE}" pid="8" name="ContentTypeId">
    <vt:lpwstr>0x010100BC29BFD66497B943AA3B102F0C7B1355</vt:lpwstr>
  </property>
  <property fmtid="{D5CDD505-2E9C-101B-9397-08002B2CF9AE}" pid="9" name="_dlc_DocIdItemGuid">
    <vt:lpwstr>b7a98c2d-1cca-4fb5-a5bf-86b6bf800edc</vt:lpwstr>
  </property>
  <property fmtid="{D5CDD505-2E9C-101B-9397-08002B2CF9AE}" pid="10" name="_ReviewingToolsShownOnce">
    <vt:lpwstr/>
  </property>
</Properties>
</file>